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52" w:rsidRDefault="00790452" w:rsidP="00790452">
      <w:pPr>
        <w:spacing w:after="240" w:line="360" w:lineRule="auto"/>
        <w:jc w:val="center"/>
        <w:rPr>
          <w:b/>
          <w:smallCaps/>
          <w:sz w:val="36"/>
          <w:szCs w:val="36"/>
        </w:rPr>
      </w:pPr>
      <w:bookmarkStart w:id="0" w:name="_GoBack"/>
      <w:bookmarkEnd w:id="0"/>
      <w:r w:rsidRPr="0039307B">
        <w:rPr>
          <w:b/>
          <w:smallCaps/>
          <w:sz w:val="36"/>
          <w:szCs w:val="36"/>
        </w:rPr>
        <w:t>norme tecniche di attuazione</w:t>
      </w:r>
    </w:p>
    <w:p w:rsidR="00790452" w:rsidRPr="0079261C" w:rsidRDefault="00790452" w:rsidP="00790452">
      <w:pPr>
        <w:spacing w:after="12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La disciplina degli insediamenti del Consorzio Industriale è d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finita dal Piano Regolatore mediante la cartografia, composta delle tavole allegate, e dalle presenti Norme Tecniche d'Attu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zione costituite da:</w:t>
      </w:r>
    </w:p>
    <w:p w:rsidR="00790452" w:rsidRPr="0079261C" w:rsidRDefault="00790452" w:rsidP="00790452">
      <w:pPr>
        <w:numPr>
          <w:ilvl w:val="0"/>
          <w:numId w:val="1"/>
        </w:numPr>
        <w:spacing w:after="120" w:line="360" w:lineRule="auto"/>
        <w:ind w:left="352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Norme di carattere generale;</w:t>
      </w:r>
    </w:p>
    <w:p w:rsidR="00790452" w:rsidRDefault="00790452" w:rsidP="00790452">
      <w:pPr>
        <w:numPr>
          <w:ilvl w:val="0"/>
          <w:numId w:val="1"/>
        </w:numPr>
        <w:spacing w:after="120" w:line="360" w:lineRule="auto"/>
        <w:ind w:left="352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Norme di Zona;</w:t>
      </w:r>
    </w:p>
    <w:p w:rsidR="00790452" w:rsidRDefault="00790452" w:rsidP="00790452">
      <w:pPr>
        <w:numPr>
          <w:ilvl w:val="0"/>
          <w:numId w:val="1"/>
        </w:numPr>
        <w:spacing w:after="120" w:line="360" w:lineRule="auto"/>
        <w:ind w:left="352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Norme Transitorie</w:t>
      </w:r>
      <w:r>
        <w:rPr>
          <w:sz w:val="24"/>
          <w:szCs w:val="24"/>
        </w:rPr>
        <w:t>.</w:t>
      </w:r>
    </w:p>
    <w:p w:rsidR="00790452" w:rsidRDefault="00790452" w:rsidP="00790452">
      <w:pPr>
        <w:spacing w:after="240" w:line="360" w:lineRule="auto"/>
        <w:jc w:val="center"/>
        <w:rPr>
          <w:b/>
          <w:smallCaps/>
          <w:sz w:val="28"/>
          <w:szCs w:val="28"/>
        </w:rPr>
      </w:pPr>
    </w:p>
    <w:p w:rsidR="00790452" w:rsidRPr="00456C4E" w:rsidRDefault="00790452" w:rsidP="00790452">
      <w:pPr>
        <w:spacing w:after="240" w:line="360" w:lineRule="auto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Norme di Carattere Generale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</w:tblGrid>
      <w:tr w:rsidR="00790452" w:rsidRPr="0079261C" w:rsidTr="005948EC">
        <w:tblPrEx>
          <w:tblCellMar>
            <w:top w:w="0" w:type="dxa"/>
            <w:bottom w:w="0" w:type="dxa"/>
          </w:tblCellMar>
        </w:tblPrEx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790452" w:rsidRPr="005155FE" w:rsidRDefault="00790452" w:rsidP="005948EC">
            <w:pPr>
              <w:spacing w:after="120" w:line="360" w:lineRule="auto"/>
              <w:jc w:val="center"/>
              <w:rPr>
                <w:b/>
                <w:sz w:val="24"/>
                <w:szCs w:val="24"/>
              </w:rPr>
            </w:pPr>
            <w:r w:rsidRPr="005155FE">
              <w:rPr>
                <w:b/>
                <w:sz w:val="24"/>
                <w:szCs w:val="24"/>
              </w:rPr>
              <w:t>I</w:t>
            </w:r>
          </w:p>
          <w:p w:rsidR="00790452" w:rsidRPr="0079261C" w:rsidRDefault="00790452" w:rsidP="005948EC">
            <w:pPr>
              <w:spacing w:after="120" w:line="360" w:lineRule="auto"/>
              <w:jc w:val="both"/>
              <w:rPr>
                <w:sz w:val="24"/>
                <w:szCs w:val="24"/>
              </w:rPr>
            </w:pPr>
            <w:r w:rsidRPr="005155FE">
              <w:rPr>
                <w:sz w:val="24"/>
                <w:szCs w:val="24"/>
              </w:rPr>
              <w:t>L</w:t>
            </w:r>
            <w:r w:rsidRPr="0079261C">
              <w:rPr>
                <w:sz w:val="24"/>
                <w:szCs w:val="24"/>
              </w:rPr>
              <w:t>e Norme Tecniche di Attuazione si sostituiscono ad eventuali Regol</w:t>
            </w:r>
            <w:r w:rsidRPr="0079261C">
              <w:rPr>
                <w:sz w:val="24"/>
                <w:szCs w:val="24"/>
              </w:rPr>
              <w:t>a</w:t>
            </w:r>
            <w:r w:rsidRPr="0079261C">
              <w:rPr>
                <w:sz w:val="24"/>
                <w:szCs w:val="24"/>
              </w:rPr>
              <w:t xml:space="preserve">menti edilizi vigenti per </w:t>
            </w:r>
            <w:proofErr w:type="gramStart"/>
            <w:r w:rsidRPr="0079261C">
              <w:rPr>
                <w:sz w:val="24"/>
                <w:szCs w:val="24"/>
              </w:rPr>
              <w:t>il  territorio</w:t>
            </w:r>
            <w:proofErr w:type="gramEnd"/>
            <w:r w:rsidRPr="0079261C">
              <w:rPr>
                <w:sz w:val="24"/>
                <w:szCs w:val="24"/>
              </w:rPr>
              <w:t xml:space="preserve"> comunale limitatamente alle prescr</w:t>
            </w:r>
            <w:r w:rsidRPr="0079261C">
              <w:rPr>
                <w:sz w:val="24"/>
                <w:szCs w:val="24"/>
              </w:rPr>
              <w:t>i</w:t>
            </w:r>
            <w:r w:rsidRPr="0079261C">
              <w:rPr>
                <w:sz w:val="24"/>
                <w:szCs w:val="24"/>
              </w:rPr>
              <w:t>zioni relative alle zone comprese nel per</w:t>
            </w:r>
            <w:r w:rsidRPr="0079261C">
              <w:rPr>
                <w:sz w:val="24"/>
                <w:szCs w:val="24"/>
              </w:rPr>
              <w:t>i</w:t>
            </w:r>
            <w:r w:rsidRPr="0079261C">
              <w:rPr>
                <w:sz w:val="24"/>
                <w:szCs w:val="24"/>
              </w:rPr>
              <w:t>metro di PRI.</w:t>
            </w:r>
          </w:p>
        </w:tc>
      </w:tr>
      <w:tr w:rsidR="00790452" w:rsidRPr="0079261C" w:rsidTr="005948EC">
        <w:tblPrEx>
          <w:tblCellMar>
            <w:top w:w="0" w:type="dxa"/>
            <w:bottom w:w="0" w:type="dxa"/>
          </w:tblCellMar>
        </w:tblPrEx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790452" w:rsidRPr="005155FE" w:rsidRDefault="00790452" w:rsidP="005948EC">
            <w:pPr>
              <w:spacing w:after="12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</w:t>
            </w:r>
          </w:p>
          <w:p w:rsidR="00790452" w:rsidRPr="0079261C" w:rsidRDefault="00790452" w:rsidP="005948EC">
            <w:pPr>
              <w:spacing w:after="120" w:line="360" w:lineRule="auto"/>
              <w:jc w:val="both"/>
              <w:rPr>
                <w:sz w:val="24"/>
                <w:szCs w:val="24"/>
              </w:rPr>
            </w:pPr>
            <w:r w:rsidRPr="0079261C">
              <w:rPr>
                <w:sz w:val="24"/>
                <w:szCs w:val="24"/>
              </w:rPr>
              <w:t>Le tipologie di insediamento previste, di norma, nell'agglomerato sono r</w:t>
            </w:r>
            <w:r w:rsidRPr="0079261C">
              <w:rPr>
                <w:sz w:val="24"/>
                <w:szCs w:val="24"/>
              </w:rPr>
              <w:t>e</w:t>
            </w:r>
            <w:r w:rsidRPr="0079261C">
              <w:rPr>
                <w:sz w:val="24"/>
                <w:szCs w:val="24"/>
              </w:rPr>
              <w:t>l</w:t>
            </w:r>
            <w:r w:rsidRPr="0079261C">
              <w:rPr>
                <w:sz w:val="24"/>
                <w:szCs w:val="24"/>
              </w:rPr>
              <w:t>a</w:t>
            </w:r>
            <w:r w:rsidRPr="0079261C">
              <w:rPr>
                <w:sz w:val="24"/>
                <w:szCs w:val="24"/>
              </w:rPr>
              <w:t>tive alle attività dell</w:t>
            </w:r>
            <w:r>
              <w:rPr>
                <w:sz w:val="24"/>
                <w:szCs w:val="24"/>
              </w:rPr>
              <w:t>e industrie di trasformazione e al</w:t>
            </w:r>
            <w:r w:rsidRPr="0079261C">
              <w:rPr>
                <w:sz w:val="24"/>
                <w:szCs w:val="24"/>
              </w:rPr>
              <w:t>le attività di serv</w:t>
            </w:r>
            <w:r w:rsidRPr="0079261C">
              <w:rPr>
                <w:sz w:val="24"/>
                <w:szCs w:val="24"/>
              </w:rPr>
              <w:t>i</w:t>
            </w:r>
            <w:r w:rsidRPr="0079261C">
              <w:rPr>
                <w:sz w:val="24"/>
                <w:szCs w:val="24"/>
              </w:rPr>
              <w:t>zio alla produzione e commerciali.</w:t>
            </w:r>
          </w:p>
        </w:tc>
      </w:tr>
      <w:tr w:rsidR="00790452" w:rsidRPr="0079261C" w:rsidTr="005948EC">
        <w:tblPrEx>
          <w:tblCellMar>
            <w:top w:w="0" w:type="dxa"/>
            <w:bottom w:w="0" w:type="dxa"/>
          </w:tblCellMar>
        </w:tblPrEx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790452" w:rsidRPr="005155FE" w:rsidRDefault="00790452" w:rsidP="005948EC">
            <w:pPr>
              <w:spacing w:after="120" w:line="360" w:lineRule="auto"/>
              <w:jc w:val="center"/>
              <w:rPr>
                <w:sz w:val="24"/>
                <w:szCs w:val="24"/>
              </w:rPr>
            </w:pPr>
            <w:r w:rsidRPr="005155FE">
              <w:rPr>
                <w:b/>
                <w:sz w:val="24"/>
                <w:szCs w:val="24"/>
              </w:rPr>
              <w:t>III</w:t>
            </w:r>
          </w:p>
          <w:p w:rsidR="00790452" w:rsidRDefault="00790452" w:rsidP="005948EC">
            <w:pPr>
              <w:spacing w:after="120" w:line="360" w:lineRule="auto"/>
              <w:jc w:val="both"/>
              <w:rPr>
                <w:sz w:val="24"/>
                <w:szCs w:val="24"/>
              </w:rPr>
            </w:pPr>
            <w:r w:rsidRPr="0079261C">
              <w:rPr>
                <w:sz w:val="24"/>
                <w:szCs w:val="24"/>
              </w:rPr>
              <w:t xml:space="preserve">L'esame e l'approvazione dei progetti di massima ed esecutivi di tutte le opere </w:t>
            </w:r>
            <w:r>
              <w:rPr>
                <w:sz w:val="24"/>
                <w:szCs w:val="24"/>
              </w:rPr>
              <w:t>relative ad</w:t>
            </w:r>
            <w:r w:rsidRPr="0079261C">
              <w:rPr>
                <w:sz w:val="24"/>
                <w:szCs w:val="24"/>
              </w:rPr>
              <w:t xml:space="preserve"> impianto e sistemazione degli stab</w:t>
            </w:r>
            <w:r w:rsidRPr="0079261C">
              <w:rPr>
                <w:sz w:val="24"/>
                <w:szCs w:val="24"/>
              </w:rPr>
              <w:t>i</w:t>
            </w:r>
            <w:r w:rsidRPr="0079261C">
              <w:rPr>
                <w:sz w:val="24"/>
                <w:szCs w:val="24"/>
              </w:rPr>
              <w:t>limenti per le attività produttive</w:t>
            </w:r>
            <w:r>
              <w:rPr>
                <w:sz w:val="24"/>
                <w:szCs w:val="24"/>
              </w:rPr>
              <w:t>, commerciali e di servizio, nonché di tutte le</w:t>
            </w:r>
            <w:r w:rsidRPr="0079261C">
              <w:rPr>
                <w:sz w:val="24"/>
                <w:szCs w:val="24"/>
              </w:rPr>
              <w:t xml:space="preserve"> costruzioni co</w:t>
            </w:r>
            <w:r w:rsidRPr="0079261C">
              <w:rPr>
                <w:sz w:val="24"/>
                <w:szCs w:val="24"/>
              </w:rPr>
              <w:t>n</w:t>
            </w:r>
            <w:r w:rsidRPr="0079261C">
              <w:rPr>
                <w:sz w:val="24"/>
                <w:szCs w:val="24"/>
              </w:rPr>
              <w:t>sentite, relativamente alla f</w:t>
            </w:r>
            <w:r w:rsidRPr="0079261C">
              <w:rPr>
                <w:sz w:val="24"/>
                <w:szCs w:val="24"/>
              </w:rPr>
              <w:t>a</w:t>
            </w:r>
            <w:r w:rsidRPr="0079261C">
              <w:rPr>
                <w:sz w:val="24"/>
                <w:szCs w:val="24"/>
              </w:rPr>
              <w:t>se di assegnazione dei lotti, sono demandate al Comitato Direttivo del Consorzio o ad organo apposito da esso espre</w:t>
            </w:r>
            <w:r w:rsidRPr="0079261C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so.</w:t>
            </w:r>
          </w:p>
          <w:p w:rsidR="00790452" w:rsidRPr="0079261C" w:rsidRDefault="00790452" w:rsidP="005948EC">
            <w:pPr>
              <w:spacing w:after="12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suddetti progetti insediativi dovranno essere, anche, redatti nel rispetto del Regolamento Suoli consortile.</w:t>
            </w:r>
          </w:p>
          <w:p w:rsidR="00790452" w:rsidRPr="0079261C" w:rsidRDefault="00790452" w:rsidP="005948EC">
            <w:pPr>
              <w:spacing w:after="120" w:line="360" w:lineRule="auto"/>
              <w:jc w:val="both"/>
              <w:rPr>
                <w:sz w:val="24"/>
                <w:szCs w:val="24"/>
              </w:rPr>
            </w:pPr>
            <w:r w:rsidRPr="0079261C">
              <w:rPr>
                <w:sz w:val="24"/>
                <w:szCs w:val="24"/>
              </w:rPr>
              <w:lastRenderedPageBreak/>
              <w:t>Il rilascio di nulla osta ai progetti esecutivi ai fini dell’ottenimento della concessione edilizia, sono di compete</w:t>
            </w:r>
            <w:r w:rsidRPr="0079261C">
              <w:rPr>
                <w:sz w:val="24"/>
                <w:szCs w:val="24"/>
              </w:rPr>
              <w:t>n</w:t>
            </w:r>
            <w:r w:rsidRPr="0079261C">
              <w:rPr>
                <w:sz w:val="24"/>
                <w:szCs w:val="24"/>
              </w:rPr>
              <w:t>za del Presidente dell’Ente o di suo delegato</w:t>
            </w:r>
          </w:p>
        </w:tc>
      </w:tr>
      <w:tr w:rsidR="00790452" w:rsidRPr="0079261C" w:rsidTr="005948EC">
        <w:tblPrEx>
          <w:tblCellMar>
            <w:top w:w="0" w:type="dxa"/>
            <w:bottom w:w="0" w:type="dxa"/>
          </w:tblCellMar>
        </w:tblPrEx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790452" w:rsidRPr="005155FE" w:rsidRDefault="00790452" w:rsidP="005948EC">
            <w:pPr>
              <w:spacing w:after="120" w:line="360" w:lineRule="auto"/>
              <w:jc w:val="center"/>
              <w:rPr>
                <w:sz w:val="24"/>
                <w:szCs w:val="24"/>
              </w:rPr>
            </w:pPr>
            <w:r w:rsidRPr="005155FE">
              <w:rPr>
                <w:b/>
                <w:sz w:val="24"/>
                <w:szCs w:val="24"/>
              </w:rPr>
              <w:lastRenderedPageBreak/>
              <w:t>IV</w:t>
            </w:r>
          </w:p>
          <w:p w:rsidR="00790452" w:rsidRDefault="00790452" w:rsidP="005948EC">
            <w:pPr>
              <w:spacing w:after="120" w:line="360" w:lineRule="auto"/>
              <w:jc w:val="both"/>
              <w:rPr>
                <w:sz w:val="24"/>
                <w:szCs w:val="24"/>
              </w:rPr>
            </w:pPr>
            <w:r w:rsidRPr="0079261C">
              <w:rPr>
                <w:sz w:val="24"/>
                <w:szCs w:val="24"/>
              </w:rPr>
              <w:t xml:space="preserve">Il Consorzio determina le precauzioni e le misure specifiche da adottare da parte delle aziende </w:t>
            </w:r>
            <w:r>
              <w:rPr>
                <w:sz w:val="24"/>
                <w:szCs w:val="24"/>
              </w:rPr>
              <w:t xml:space="preserve">insediate ed </w:t>
            </w:r>
            <w:proofErr w:type="spellStart"/>
            <w:r>
              <w:rPr>
                <w:sz w:val="24"/>
                <w:szCs w:val="24"/>
              </w:rPr>
              <w:t>insediande</w:t>
            </w:r>
            <w:proofErr w:type="spellEnd"/>
            <w:r w:rsidRPr="0079261C">
              <w:rPr>
                <w:sz w:val="24"/>
                <w:szCs w:val="24"/>
              </w:rPr>
              <w:t xml:space="preserve"> onde evitare danni e fastidi in conseguenza di allacciamenti e immissioni,</w:t>
            </w:r>
            <w:r>
              <w:rPr>
                <w:sz w:val="24"/>
                <w:szCs w:val="24"/>
              </w:rPr>
              <w:t xml:space="preserve"> emissioni,</w:t>
            </w:r>
            <w:r w:rsidRPr="0079261C">
              <w:rPr>
                <w:sz w:val="24"/>
                <w:szCs w:val="24"/>
              </w:rPr>
              <w:t xml:space="preserve"> rumori, mov</w:t>
            </w:r>
            <w:r w:rsidRPr="0079261C">
              <w:rPr>
                <w:sz w:val="24"/>
                <w:szCs w:val="24"/>
              </w:rPr>
              <w:t>i</w:t>
            </w:r>
            <w:r w:rsidRPr="0079261C">
              <w:rPr>
                <w:sz w:val="24"/>
                <w:szCs w:val="24"/>
              </w:rPr>
              <w:t>menti di merci, trasporto e sim</w:t>
            </w:r>
            <w:r w:rsidRPr="0079261C">
              <w:rPr>
                <w:sz w:val="24"/>
                <w:szCs w:val="24"/>
              </w:rPr>
              <w:t>i</w:t>
            </w:r>
            <w:r w:rsidRPr="0079261C">
              <w:rPr>
                <w:sz w:val="24"/>
                <w:szCs w:val="24"/>
              </w:rPr>
              <w:t>li.</w:t>
            </w:r>
          </w:p>
          <w:p w:rsidR="00790452" w:rsidRDefault="00790452" w:rsidP="005948EC">
            <w:pPr>
              <w:spacing w:after="120" w:line="360" w:lineRule="auto"/>
              <w:jc w:val="center"/>
              <w:rPr>
                <w:b/>
                <w:sz w:val="24"/>
                <w:szCs w:val="24"/>
              </w:rPr>
            </w:pPr>
            <w:r w:rsidRPr="005155FE">
              <w:rPr>
                <w:b/>
                <w:sz w:val="24"/>
                <w:szCs w:val="24"/>
              </w:rPr>
              <w:t>V</w:t>
            </w:r>
          </w:p>
          <w:p w:rsidR="00790452" w:rsidRPr="0079261C" w:rsidRDefault="00790452" w:rsidP="005948EC">
            <w:pPr>
              <w:tabs>
                <w:tab w:val="left" w:pos="426"/>
              </w:tabs>
              <w:spacing w:after="12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9261C">
              <w:rPr>
                <w:sz w:val="24"/>
                <w:szCs w:val="24"/>
              </w:rPr>
              <w:t>n tutte le zone che saranno nel prosieguo destinate all’insediamento di att</w:t>
            </w:r>
            <w:r w:rsidRPr="0079261C">
              <w:rPr>
                <w:sz w:val="24"/>
                <w:szCs w:val="24"/>
              </w:rPr>
              <w:t>i</w:t>
            </w:r>
            <w:r w:rsidRPr="0079261C">
              <w:rPr>
                <w:sz w:val="24"/>
                <w:szCs w:val="24"/>
              </w:rPr>
              <w:t>vità produttive, di servizio e commerciali (Zone A, A1, A2, B, C, E ed F) valgono le seguenti norme:</w:t>
            </w:r>
          </w:p>
          <w:p w:rsidR="00790452" w:rsidRPr="0079261C" w:rsidRDefault="00790452" w:rsidP="00790452">
            <w:pPr>
              <w:numPr>
                <w:ilvl w:val="0"/>
                <w:numId w:val="10"/>
              </w:numPr>
              <w:tabs>
                <w:tab w:val="clear" w:pos="1440"/>
                <w:tab w:val="num" w:pos="709"/>
              </w:tabs>
              <w:autoSpaceDE/>
              <w:autoSpaceDN/>
              <w:spacing w:after="120" w:line="360" w:lineRule="auto"/>
              <w:ind w:left="709" w:hanging="425"/>
              <w:jc w:val="both"/>
              <w:rPr>
                <w:sz w:val="24"/>
                <w:szCs w:val="24"/>
              </w:rPr>
            </w:pPr>
            <w:proofErr w:type="gramStart"/>
            <w:r w:rsidRPr="0079261C">
              <w:rPr>
                <w:sz w:val="24"/>
                <w:szCs w:val="24"/>
              </w:rPr>
              <w:t>è</w:t>
            </w:r>
            <w:proofErr w:type="gramEnd"/>
            <w:r w:rsidRPr="0079261C">
              <w:rPr>
                <w:sz w:val="24"/>
                <w:szCs w:val="24"/>
              </w:rPr>
              <w:t xml:space="preserve"> consentita l’edificazione sul confine del lotto prospetta</w:t>
            </w:r>
            <w:r w:rsidRPr="0079261C">
              <w:rPr>
                <w:sz w:val="24"/>
                <w:szCs w:val="24"/>
              </w:rPr>
              <w:t>n</w:t>
            </w:r>
            <w:r w:rsidRPr="0079261C">
              <w:rPr>
                <w:sz w:val="24"/>
                <w:szCs w:val="24"/>
              </w:rPr>
              <w:t>te la strada di cabine per l’alloggiamento di trasformatori e la fornitura di energia elettrica, gruppi elettrogeni, apparecchiature per la fo</w:t>
            </w:r>
            <w:r w:rsidRPr="0079261C">
              <w:rPr>
                <w:sz w:val="24"/>
                <w:szCs w:val="24"/>
              </w:rPr>
              <w:t>r</w:t>
            </w:r>
            <w:r w:rsidRPr="0079261C">
              <w:rPr>
                <w:sz w:val="24"/>
                <w:szCs w:val="24"/>
              </w:rPr>
              <w:t>nitura di gas, acqua potabile e/o ind</w:t>
            </w:r>
            <w:r w:rsidRPr="0079261C">
              <w:rPr>
                <w:sz w:val="24"/>
                <w:szCs w:val="24"/>
              </w:rPr>
              <w:t>u</w:t>
            </w:r>
            <w:r w:rsidRPr="0079261C">
              <w:rPr>
                <w:sz w:val="24"/>
                <w:szCs w:val="24"/>
              </w:rPr>
              <w:t xml:space="preserve">striale, centraline telefoniche e per ogni altro servizio di </w:t>
            </w:r>
            <w:r w:rsidRPr="0079261C">
              <w:rPr>
                <w:sz w:val="24"/>
                <w:szCs w:val="24"/>
              </w:rPr>
              <w:t>u</w:t>
            </w:r>
            <w:r w:rsidRPr="0079261C">
              <w:rPr>
                <w:sz w:val="24"/>
                <w:szCs w:val="24"/>
              </w:rPr>
              <w:t>tenze, fatte salve le norme vigenti in materia e le prescr</w:t>
            </w:r>
            <w:r w:rsidRPr="0079261C">
              <w:rPr>
                <w:sz w:val="24"/>
                <w:szCs w:val="24"/>
              </w:rPr>
              <w:t>i</w:t>
            </w:r>
            <w:r w:rsidRPr="0079261C">
              <w:rPr>
                <w:sz w:val="24"/>
                <w:szCs w:val="24"/>
              </w:rPr>
              <w:t>zioni degli Enti fornitori dei servizi stessi;</w:t>
            </w:r>
          </w:p>
          <w:p w:rsidR="00790452" w:rsidRPr="0079261C" w:rsidRDefault="00790452" w:rsidP="00790452">
            <w:pPr>
              <w:numPr>
                <w:ilvl w:val="0"/>
                <w:numId w:val="10"/>
              </w:numPr>
              <w:tabs>
                <w:tab w:val="clear" w:pos="1440"/>
                <w:tab w:val="num" w:pos="709"/>
              </w:tabs>
              <w:autoSpaceDE/>
              <w:autoSpaceDN/>
              <w:spacing w:after="120" w:line="360" w:lineRule="auto"/>
              <w:ind w:left="709" w:hanging="425"/>
              <w:jc w:val="both"/>
              <w:rPr>
                <w:sz w:val="24"/>
                <w:szCs w:val="24"/>
              </w:rPr>
            </w:pPr>
            <w:proofErr w:type="gramStart"/>
            <w:r w:rsidRPr="0079261C">
              <w:rPr>
                <w:sz w:val="24"/>
                <w:szCs w:val="24"/>
              </w:rPr>
              <w:t>è</w:t>
            </w:r>
            <w:proofErr w:type="gramEnd"/>
            <w:r w:rsidRPr="0079261C">
              <w:rPr>
                <w:sz w:val="24"/>
                <w:szCs w:val="24"/>
              </w:rPr>
              <w:t xml:space="preserve"> consentita la realizzazione di tettoie, completamente </w:t>
            </w:r>
            <w:r w:rsidRPr="0079261C">
              <w:rPr>
                <w:sz w:val="24"/>
                <w:szCs w:val="24"/>
              </w:rPr>
              <w:t>a</w:t>
            </w:r>
            <w:r w:rsidRPr="0079261C">
              <w:rPr>
                <w:sz w:val="24"/>
                <w:szCs w:val="24"/>
              </w:rPr>
              <w:t>perte al meno su tre lati, per il ricovero di autoveicoli, motoveicoli ed a</w:t>
            </w:r>
            <w:r w:rsidRPr="0079261C">
              <w:rPr>
                <w:sz w:val="24"/>
                <w:szCs w:val="24"/>
              </w:rPr>
              <w:t>t</w:t>
            </w:r>
            <w:r w:rsidRPr="0079261C">
              <w:rPr>
                <w:sz w:val="24"/>
                <w:szCs w:val="24"/>
              </w:rPr>
              <w:t>trezzature, in ad</w:t>
            </w:r>
            <w:r w:rsidRPr="0079261C">
              <w:rPr>
                <w:sz w:val="24"/>
                <w:szCs w:val="24"/>
              </w:rPr>
              <w:t>e</w:t>
            </w:r>
            <w:r w:rsidRPr="0079261C">
              <w:rPr>
                <w:sz w:val="24"/>
                <w:szCs w:val="24"/>
              </w:rPr>
              <w:t>renza alle recinzioni poste sui confini dei lotti, purché di altezza non superiore a mt. 2,50 e di lunghezza non s</w:t>
            </w:r>
            <w:r w:rsidRPr="0079261C">
              <w:rPr>
                <w:sz w:val="24"/>
                <w:szCs w:val="24"/>
              </w:rPr>
              <w:t>u</w:t>
            </w:r>
            <w:r w:rsidRPr="0079261C">
              <w:rPr>
                <w:sz w:val="24"/>
                <w:szCs w:val="24"/>
              </w:rPr>
              <w:t>periore al 20% dell’estensione dei confini. Dette tettoie non po</w:t>
            </w:r>
            <w:r w:rsidRPr="0079261C">
              <w:rPr>
                <w:sz w:val="24"/>
                <w:szCs w:val="24"/>
              </w:rPr>
              <w:t>s</w:t>
            </w:r>
            <w:r w:rsidRPr="0079261C">
              <w:rPr>
                <w:sz w:val="24"/>
                <w:szCs w:val="24"/>
              </w:rPr>
              <w:t>sono essere realizzate sui confini dei lotti verso fronte strada dai quali debbono essere arr</w:t>
            </w:r>
            <w:r w:rsidRPr="0079261C">
              <w:rPr>
                <w:sz w:val="24"/>
                <w:szCs w:val="24"/>
              </w:rPr>
              <w:t>e</w:t>
            </w:r>
            <w:r w:rsidRPr="0079261C">
              <w:rPr>
                <w:sz w:val="24"/>
                <w:szCs w:val="24"/>
              </w:rPr>
              <w:t xml:space="preserve">trate di una distanza pari a quella prevista per gli </w:t>
            </w:r>
            <w:r w:rsidRPr="0079261C">
              <w:rPr>
                <w:sz w:val="24"/>
                <w:szCs w:val="24"/>
              </w:rPr>
              <w:t>e</w:t>
            </w:r>
            <w:r w:rsidRPr="0079261C">
              <w:rPr>
                <w:sz w:val="24"/>
                <w:szCs w:val="24"/>
              </w:rPr>
              <w:t xml:space="preserve">difici.  </w:t>
            </w:r>
          </w:p>
          <w:p w:rsidR="00790452" w:rsidRPr="0079261C" w:rsidRDefault="00790452" w:rsidP="00790452">
            <w:pPr>
              <w:numPr>
                <w:ilvl w:val="0"/>
                <w:numId w:val="10"/>
              </w:numPr>
              <w:tabs>
                <w:tab w:val="clear" w:pos="1440"/>
                <w:tab w:val="num" w:pos="709"/>
              </w:tabs>
              <w:autoSpaceDE/>
              <w:autoSpaceDN/>
              <w:spacing w:after="120" w:line="360" w:lineRule="auto"/>
              <w:ind w:left="709" w:hanging="425"/>
              <w:jc w:val="both"/>
              <w:rPr>
                <w:sz w:val="24"/>
                <w:szCs w:val="24"/>
              </w:rPr>
            </w:pPr>
            <w:proofErr w:type="gramStart"/>
            <w:r w:rsidRPr="0079261C">
              <w:rPr>
                <w:sz w:val="24"/>
                <w:szCs w:val="24"/>
              </w:rPr>
              <w:t>per</w:t>
            </w:r>
            <w:proofErr w:type="gramEnd"/>
            <w:r w:rsidRPr="0079261C">
              <w:rPr>
                <w:sz w:val="24"/>
                <w:szCs w:val="24"/>
              </w:rPr>
              <w:t xml:space="preserve"> i distacchi minimi tra pareti finestrate all’interno dei lotti va</w:t>
            </w:r>
            <w:r w:rsidRPr="0079261C">
              <w:rPr>
                <w:sz w:val="24"/>
                <w:szCs w:val="24"/>
              </w:rPr>
              <w:t>l</w:t>
            </w:r>
            <w:r w:rsidRPr="0079261C">
              <w:rPr>
                <w:sz w:val="24"/>
                <w:szCs w:val="24"/>
              </w:rPr>
              <w:t>gono le norme del Codice Civile, nonché quelle previste in m</w:t>
            </w:r>
            <w:r w:rsidRPr="0079261C">
              <w:rPr>
                <w:sz w:val="24"/>
                <w:szCs w:val="24"/>
              </w:rPr>
              <w:t>a</w:t>
            </w:r>
            <w:r w:rsidRPr="0079261C">
              <w:rPr>
                <w:sz w:val="24"/>
                <w:szCs w:val="24"/>
              </w:rPr>
              <w:t xml:space="preserve">teria di edilizia </w:t>
            </w:r>
            <w:r w:rsidRPr="0079261C">
              <w:rPr>
                <w:sz w:val="24"/>
                <w:szCs w:val="24"/>
              </w:rPr>
              <w:t>a</w:t>
            </w:r>
            <w:r w:rsidRPr="0079261C">
              <w:rPr>
                <w:sz w:val="24"/>
                <w:szCs w:val="24"/>
              </w:rPr>
              <w:t>sismica;</w:t>
            </w:r>
          </w:p>
          <w:p w:rsidR="00790452" w:rsidRDefault="00790452" w:rsidP="00790452">
            <w:pPr>
              <w:numPr>
                <w:ilvl w:val="0"/>
                <w:numId w:val="10"/>
              </w:numPr>
              <w:tabs>
                <w:tab w:val="clear" w:pos="1440"/>
                <w:tab w:val="num" w:pos="709"/>
              </w:tabs>
              <w:autoSpaceDE/>
              <w:autoSpaceDN/>
              <w:spacing w:after="120" w:line="360" w:lineRule="auto"/>
              <w:ind w:left="709" w:hanging="425"/>
              <w:jc w:val="both"/>
              <w:rPr>
                <w:sz w:val="24"/>
                <w:szCs w:val="24"/>
              </w:rPr>
            </w:pPr>
            <w:proofErr w:type="gramStart"/>
            <w:r w:rsidRPr="0079261C">
              <w:rPr>
                <w:sz w:val="24"/>
                <w:szCs w:val="24"/>
              </w:rPr>
              <w:lastRenderedPageBreak/>
              <w:t>i</w:t>
            </w:r>
            <w:proofErr w:type="gramEnd"/>
            <w:r w:rsidRPr="0079261C">
              <w:rPr>
                <w:sz w:val="24"/>
                <w:szCs w:val="24"/>
              </w:rPr>
              <w:t xml:space="preserve"> varchi di ingresso per gli autoveicoli saranno arretrati rispetto alla r</w:t>
            </w:r>
            <w:r w:rsidRPr="0079261C">
              <w:rPr>
                <w:sz w:val="24"/>
                <w:szCs w:val="24"/>
              </w:rPr>
              <w:t>e</w:t>
            </w:r>
            <w:r w:rsidRPr="0079261C">
              <w:rPr>
                <w:sz w:val="24"/>
                <w:szCs w:val="24"/>
              </w:rPr>
              <w:t>cinzione di una misura non inferiore a mt. 3,00.</w:t>
            </w:r>
          </w:p>
          <w:p w:rsidR="00790452" w:rsidRDefault="00790452" w:rsidP="00790452">
            <w:pPr>
              <w:numPr>
                <w:ilvl w:val="0"/>
                <w:numId w:val="10"/>
              </w:numPr>
              <w:tabs>
                <w:tab w:val="clear" w:pos="1440"/>
                <w:tab w:val="num" w:pos="709"/>
              </w:tabs>
              <w:autoSpaceDE/>
              <w:autoSpaceDN/>
              <w:spacing w:after="120" w:line="360" w:lineRule="auto"/>
              <w:ind w:left="709" w:hanging="425"/>
              <w:jc w:val="both"/>
              <w:rPr>
                <w:sz w:val="24"/>
                <w:szCs w:val="24"/>
              </w:rPr>
            </w:pPr>
            <w:r w:rsidRPr="0079261C">
              <w:rPr>
                <w:sz w:val="24"/>
                <w:szCs w:val="24"/>
              </w:rPr>
              <w:t>Le recinzioni dei lotti verso fronte strada possono essere realizzate in m</w:t>
            </w:r>
            <w:r w:rsidRPr="0079261C">
              <w:rPr>
                <w:sz w:val="24"/>
                <w:szCs w:val="24"/>
              </w:rPr>
              <w:t>u</w:t>
            </w:r>
            <w:r w:rsidRPr="0079261C">
              <w:rPr>
                <w:sz w:val="24"/>
                <w:szCs w:val="24"/>
              </w:rPr>
              <w:t>ratura fino ad un’altezza massima di mt. 1,20 rispetto alla quota del piano viabile e per la restante parte debbono essere re</w:t>
            </w:r>
            <w:r w:rsidRPr="0079261C">
              <w:rPr>
                <w:sz w:val="24"/>
                <w:szCs w:val="24"/>
              </w:rPr>
              <w:t>a</w:t>
            </w:r>
            <w:r w:rsidRPr="0079261C">
              <w:rPr>
                <w:sz w:val="24"/>
                <w:szCs w:val="24"/>
              </w:rPr>
              <w:t>lizzate in materiale tr</w:t>
            </w:r>
            <w:r w:rsidRPr="0079261C">
              <w:rPr>
                <w:sz w:val="24"/>
                <w:szCs w:val="24"/>
              </w:rPr>
              <w:t>a</w:t>
            </w:r>
            <w:r w:rsidRPr="0079261C">
              <w:rPr>
                <w:sz w:val="24"/>
                <w:szCs w:val="24"/>
              </w:rPr>
              <w:t>sparente.</w:t>
            </w:r>
          </w:p>
          <w:p w:rsidR="00790452" w:rsidRDefault="00790452" w:rsidP="00790452">
            <w:pPr>
              <w:numPr>
                <w:ilvl w:val="0"/>
                <w:numId w:val="10"/>
              </w:numPr>
              <w:tabs>
                <w:tab w:val="clear" w:pos="1440"/>
                <w:tab w:val="num" w:pos="709"/>
              </w:tabs>
              <w:autoSpaceDE/>
              <w:autoSpaceDN/>
              <w:spacing w:after="120" w:line="360" w:lineRule="auto"/>
              <w:ind w:left="709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9261C">
              <w:rPr>
                <w:sz w:val="24"/>
                <w:szCs w:val="24"/>
              </w:rPr>
              <w:t>Il Consorzio si riserva la facoltà, in caso di estrema urgenza ed importanza ai fini del processo di ind</w:t>
            </w:r>
            <w:r w:rsidRPr="0079261C">
              <w:rPr>
                <w:sz w:val="24"/>
                <w:szCs w:val="24"/>
              </w:rPr>
              <w:t>u</w:t>
            </w:r>
            <w:r w:rsidRPr="0079261C">
              <w:rPr>
                <w:sz w:val="24"/>
                <w:szCs w:val="24"/>
              </w:rPr>
              <w:t xml:space="preserve">strializzazione, di </w:t>
            </w:r>
            <w:proofErr w:type="gramStart"/>
            <w:r w:rsidRPr="0079261C">
              <w:rPr>
                <w:sz w:val="24"/>
                <w:szCs w:val="24"/>
              </w:rPr>
              <w:t>utilizzare  singoli</w:t>
            </w:r>
            <w:proofErr w:type="gramEnd"/>
            <w:r w:rsidRPr="0079261C">
              <w:rPr>
                <w:sz w:val="24"/>
                <w:szCs w:val="24"/>
              </w:rPr>
              <w:t xml:space="preserve"> lotti per insediamenti diversi da quelli previsti nella zoni</w:t>
            </w:r>
            <w:r w:rsidRPr="0079261C">
              <w:rPr>
                <w:sz w:val="24"/>
                <w:szCs w:val="24"/>
              </w:rPr>
              <w:t>z</w:t>
            </w:r>
            <w:r w:rsidRPr="0079261C">
              <w:rPr>
                <w:sz w:val="24"/>
                <w:szCs w:val="24"/>
              </w:rPr>
              <w:t xml:space="preserve">zazione di piano </w:t>
            </w:r>
            <w:proofErr w:type="spellStart"/>
            <w:r w:rsidRPr="0079261C">
              <w:rPr>
                <w:sz w:val="24"/>
                <w:szCs w:val="24"/>
              </w:rPr>
              <w:t>purchè</w:t>
            </w:r>
            <w:proofErr w:type="spellEnd"/>
            <w:r w:rsidRPr="0079261C">
              <w:rPr>
                <w:sz w:val="24"/>
                <w:szCs w:val="24"/>
              </w:rPr>
              <w:t xml:space="preserve"> comunque compatibili con i fini istituzi</w:t>
            </w:r>
            <w:r w:rsidRPr="0079261C">
              <w:rPr>
                <w:sz w:val="24"/>
                <w:szCs w:val="24"/>
              </w:rPr>
              <w:t>o</w:t>
            </w:r>
            <w:r w:rsidRPr="0079261C">
              <w:rPr>
                <w:sz w:val="24"/>
                <w:szCs w:val="24"/>
              </w:rPr>
              <w:t>nali de</w:t>
            </w:r>
            <w:r>
              <w:rPr>
                <w:sz w:val="24"/>
                <w:szCs w:val="24"/>
              </w:rPr>
              <w:t>ll’Ente e con le norme v</w:t>
            </w:r>
            <w:r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genti.</w:t>
            </w:r>
          </w:p>
          <w:p w:rsidR="00790452" w:rsidRPr="005155FE" w:rsidRDefault="00790452" w:rsidP="00790452">
            <w:pPr>
              <w:numPr>
                <w:ilvl w:val="0"/>
                <w:numId w:val="10"/>
              </w:numPr>
              <w:tabs>
                <w:tab w:val="clear" w:pos="1440"/>
                <w:tab w:val="num" w:pos="709"/>
              </w:tabs>
              <w:autoSpaceDE/>
              <w:autoSpaceDN/>
              <w:spacing w:after="120" w:line="360" w:lineRule="auto"/>
              <w:ind w:left="709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E’ consentito il mantenimento di tutte le attività preesistenti, </w:t>
            </w:r>
            <w:proofErr w:type="spellStart"/>
            <w:r>
              <w:rPr>
                <w:sz w:val="24"/>
                <w:szCs w:val="24"/>
              </w:rPr>
              <w:t>pu</w:t>
            </w:r>
            <w:r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chè</w:t>
            </w:r>
            <w:proofErr w:type="spellEnd"/>
            <w:r>
              <w:rPr>
                <w:sz w:val="24"/>
                <w:szCs w:val="24"/>
              </w:rPr>
              <w:t xml:space="preserve"> regolarmente autorizzate.</w:t>
            </w:r>
          </w:p>
        </w:tc>
      </w:tr>
    </w:tbl>
    <w:p w:rsidR="00790452" w:rsidRDefault="00790452" w:rsidP="00790452">
      <w:pPr>
        <w:autoSpaceDE/>
        <w:autoSpaceDN/>
        <w:spacing w:after="120" w:line="360" w:lineRule="auto"/>
        <w:ind w:left="1080"/>
        <w:jc w:val="both"/>
        <w:rPr>
          <w:sz w:val="24"/>
          <w:szCs w:val="24"/>
        </w:rPr>
      </w:pPr>
    </w:p>
    <w:p w:rsidR="00790452" w:rsidRPr="0079261C" w:rsidRDefault="00790452" w:rsidP="00790452">
      <w:pPr>
        <w:autoSpaceDE/>
        <w:autoSpaceDN/>
        <w:spacing w:after="120" w:line="360" w:lineRule="auto"/>
        <w:ind w:left="1080"/>
        <w:jc w:val="both"/>
        <w:rPr>
          <w:sz w:val="24"/>
          <w:szCs w:val="24"/>
        </w:rPr>
      </w:pPr>
    </w:p>
    <w:p w:rsidR="00790452" w:rsidRPr="00456C4E" w:rsidRDefault="00790452" w:rsidP="00790452">
      <w:pPr>
        <w:spacing w:after="120" w:line="360" w:lineRule="auto"/>
        <w:jc w:val="center"/>
        <w:rPr>
          <w:b/>
          <w:sz w:val="28"/>
          <w:szCs w:val="28"/>
          <w:u w:val="single"/>
        </w:rPr>
      </w:pPr>
      <w:r w:rsidRPr="00456C4E">
        <w:rPr>
          <w:b/>
          <w:bCs/>
          <w:sz w:val="28"/>
          <w:szCs w:val="28"/>
        </w:rPr>
        <w:t>NORME DI ZONA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Art. 1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 w:rsidRPr="0079261C">
        <w:rPr>
          <w:b/>
          <w:sz w:val="24"/>
          <w:szCs w:val="24"/>
          <w:u w:val="single"/>
        </w:rPr>
        <w:t xml:space="preserve">Zona “A” – </w:t>
      </w:r>
      <w:r w:rsidRPr="0079261C">
        <w:rPr>
          <w:b/>
          <w:caps/>
          <w:sz w:val="24"/>
          <w:szCs w:val="24"/>
          <w:u w:val="single"/>
        </w:rPr>
        <w:t>Aree per attività produttive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Zona per attività produttive (industriali e artigianali)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All’interno dei singoli lotti industriali valgono le seguenti norme:</w:t>
      </w:r>
    </w:p>
    <w:p w:rsidR="00790452" w:rsidRPr="0079261C" w:rsidRDefault="00790452" w:rsidP="00790452">
      <w:pPr>
        <w:numPr>
          <w:ilvl w:val="0"/>
          <w:numId w:val="4"/>
        </w:numPr>
        <w:autoSpaceDE/>
        <w:autoSpaceDN/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Sono previste soltanto costruzioni corrispondenti al carattere specifico di insedi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menti industriali. Non sono consentiti locali d’abitazione; è consentita soltanto la realizzazione di un alloggio per il custode ed uno per personale tecnico (turnisti), la cui presenza indispensabile e continua in loco è stata comprovata dall’azienda ass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gnataria del lotto e fino ad un massimo, per ciascun alloggio, di 120 m² calpestabili. Per gli uffici ed i servizi complementari la superficie deve essere propo</w:t>
      </w:r>
      <w:r w:rsidRPr="0079261C">
        <w:rPr>
          <w:sz w:val="24"/>
          <w:szCs w:val="24"/>
        </w:rPr>
        <w:t>r</w:t>
      </w:r>
      <w:r w:rsidRPr="0079261C">
        <w:rPr>
          <w:sz w:val="24"/>
          <w:szCs w:val="24"/>
        </w:rPr>
        <w:t>zionata al numero di addetti. Tale indicazione sarà valutata in via d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screzionale dal Consorzio con un massimo del 15% della cubatura i</w:t>
      </w:r>
      <w:r w:rsidRPr="0079261C">
        <w:rPr>
          <w:sz w:val="24"/>
          <w:szCs w:val="24"/>
        </w:rPr>
        <w:t>n</w:t>
      </w:r>
      <w:r w:rsidRPr="0079261C">
        <w:rPr>
          <w:sz w:val="24"/>
          <w:szCs w:val="24"/>
        </w:rPr>
        <w:t>dustriale oggetto di concessione.</w:t>
      </w:r>
    </w:p>
    <w:p w:rsidR="00790452" w:rsidRPr="0079261C" w:rsidRDefault="00790452" w:rsidP="00790452">
      <w:pPr>
        <w:spacing w:after="240" w:line="360" w:lineRule="auto"/>
        <w:ind w:left="540"/>
        <w:jc w:val="both"/>
        <w:rPr>
          <w:sz w:val="24"/>
          <w:szCs w:val="24"/>
        </w:rPr>
      </w:pPr>
      <w:r w:rsidRPr="0079261C">
        <w:rPr>
          <w:sz w:val="24"/>
          <w:szCs w:val="24"/>
        </w:rPr>
        <w:lastRenderedPageBreak/>
        <w:t>Sono previste aree per la commercializzazione dei prodotti della ste</w:t>
      </w:r>
      <w:r w:rsidRPr="0079261C">
        <w:rPr>
          <w:sz w:val="24"/>
          <w:szCs w:val="24"/>
        </w:rPr>
        <w:t>s</w:t>
      </w:r>
      <w:r w:rsidRPr="0079261C">
        <w:rPr>
          <w:sz w:val="24"/>
          <w:szCs w:val="24"/>
        </w:rPr>
        <w:t>sa azienda nella misura del 15% della superficie coperta e con il limite massimo di 250 m².</w:t>
      </w:r>
    </w:p>
    <w:p w:rsidR="00790452" w:rsidRPr="0079261C" w:rsidRDefault="00790452" w:rsidP="00790452">
      <w:pPr>
        <w:numPr>
          <w:ilvl w:val="0"/>
          <w:numId w:val="4"/>
        </w:numPr>
        <w:autoSpaceDE/>
        <w:autoSpaceDN/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Lotto minimo 3.000 mq.</w:t>
      </w:r>
    </w:p>
    <w:p w:rsidR="00790452" w:rsidRPr="0079261C" w:rsidRDefault="00790452" w:rsidP="00790452">
      <w:pPr>
        <w:numPr>
          <w:ilvl w:val="0"/>
          <w:numId w:val="2"/>
        </w:numPr>
        <w:spacing w:after="240" w:line="360" w:lineRule="auto"/>
        <w:ind w:left="566"/>
        <w:jc w:val="both"/>
        <w:rPr>
          <w:sz w:val="24"/>
          <w:szCs w:val="24"/>
        </w:rPr>
      </w:pPr>
      <w:r w:rsidRPr="0079261C">
        <w:rPr>
          <w:sz w:val="24"/>
          <w:szCs w:val="24"/>
        </w:rPr>
        <w:t xml:space="preserve">Le recinzioni potranno essere poste sul confine di </w:t>
      </w:r>
      <w:r>
        <w:rPr>
          <w:sz w:val="24"/>
          <w:szCs w:val="24"/>
        </w:rPr>
        <w:t>proprietà</w:t>
      </w:r>
      <w:r w:rsidRPr="0079261C">
        <w:rPr>
          <w:sz w:val="24"/>
          <w:szCs w:val="24"/>
        </w:rPr>
        <w:t>.</w:t>
      </w:r>
    </w:p>
    <w:p w:rsidR="00790452" w:rsidRPr="0079261C" w:rsidRDefault="00790452" w:rsidP="00790452">
      <w:pPr>
        <w:numPr>
          <w:ilvl w:val="0"/>
          <w:numId w:val="2"/>
        </w:numPr>
        <w:spacing w:after="240" w:line="360" w:lineRule="auto"/>
        <w:ind w:left="566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La percentuale di copertura massima (rapporto tra area edificata ed area totale del lotto) è così stabilita:</w:t>
      </w:r>
    </w:p>
    <w:p w:rsidR="00790452" w:rsidRPr="0079261C" w:rsidRDefault="00790452" w:rsidP="00790452">
      <w:pPr>
        <w:numPr>
          <w:ilvl w:val="0"/>
          <w:numId w:val="5"/>
        </w:numPr>
        <w:spacing w:after="240"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per</w:t>
      </w:r>
      <w:proofErr w:type="gramEnd"/>
      <w:r>
        <w:rPr>
          <w:sz w:val="24"/>
          <w:szCs w:val="24"/>
        </w:rPr>
        <w:t xml:space="preserve"> lotti di dimensione inferiore</w:t>
      </w:r>
      <w:r w:rsidRPr="0079261C">
        <w:rPr>
          <w:sz w:val="24"/>
          <w:szCs w:val="24"/>
        </w:rPr>
        <w:t xml:space="preserve"> a 10.000 m²  nella misura del 35%;</w:t>
      </w:r>
    </w:p>
    <w:p w:rsidR="00790452" w:rsidRPr="0079261C" w:rsidRDefault="00790452" w:rsidP="00790452">
      <w:pPr>
        <w:numPr>
          <w:ilvl w:val="0"/>
          <w:numId w:val="6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per</w:t>
      </w:r>
      <w:proofErr w:type="gramEnd"/>
      <w:r w:rsidRPr="0079261C">
        <w:rPr>
          <w:sz w:val="24"/>
          <w:szCs w:val="24"/>
        </w:rPr>
        <w:t xml:space="preserve"> </w:t>
      </w:r>
      <w:r>
        <w:rPr>
          <w:sz w:val="24"/>
          <w:szCs w:val="24"/>
        </w:rPr>
        <w:t>lotti di dimensione uguale o maggiore di</w:t>
      </w:r>
      <w:r w:rsidRPr="0079261C">
        <w:rPr>
          <w:sz w:val="24"/>
          <w:szCs w:val="24"/>
        </w:rPr>
        <w:t xml:space="preserve"> 10.000 m² nella misura del 50%.</w:t>
      </w:r>
    </w:p>
    <w:p w:rsidR="00790452" w:rsidRPr="0079261C" w:rsidRDefault="00790452" w:rsidP="00790452">
      <w:pPr>
        <w:numPr>
          <w:ilvl w:val="1"/>
          <w:numId w:val="6"/>
        </w:numPr>
        <w:tabs>
          <w:tab w:val="clear" w:pos="1363"/>
        </w:tabs>
        <w:spacing w:after="240" w:line="360" w:lineRule="auto"/>
        <w:ind w:left="360" w:firstLine="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Il distacco minimo delle costruzione dai confini è così stab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lito:</w:t>
      </w:r>
    </w:p>
    <w:p w:rsidR="00790452" w:rsidRPr="0079261C" w:rsidRDefault="00790452" w:rsidP="00790452">
      <w:pPr>
        <w:numPr>
          <w:ilvl w:val="0"/>
          <w:numId w:val="6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per</w:t>
      </w:r>
      <w:proofErr w:type="gramEnd"/>
      <w:r w:rsidRPr="0079261C">
        <w:rPr>
          <w:sz w:val="24"/>
          <w:szCs w:val="24"/>
        </w:rPr>
        <w:t xml:space="preserve"> lotti </w:t>
      </w:r>
      <w:r>
        <w:rPr>
          <w:sz w:val="24"/>
          <w:szCs w:val="24"/>
        </w:rPr>
        <w:t>inferiore a</w:t>
      </w:r>
      <w:r w:rsidRPr="0079261C">
        <w:rPr>
          <w:sz w:val="24"/>
          <w:szCs w:val="24"/>
        </w:rPr>
        <w:t xml:space="preserve"> 10.000 m² 6 ml. </w:t>
      </w:r>
      <w:proofErr w:type="gramStart"/>
      <w:r w:rsidRPr="0079261C">
        <w:rPr>
          <w:sz w:val="24"/>
          <w:szCs w:val="24"/>
        </w:rPr>
        <w:t>dal</w:t>
      </w:r>
      <w:proofErr w:type="gramEnd"/>
      <w:r w:rsidRPr="0079261C">
        <w:rPr>
          <w:sz w:val="24"/>
          <w:szCs w:val="24"/>
        </w:rPr>
        <w:t xml:space="preserve"> confine con altri lotti; l0 ml. </w:t>
      </w:r>
      <w:proofErr w:type="gramStart"/>
      <w:r w:rsidRPr="0079261C">
        <w:rPr>
          <w:sz w:val="24"/>
          <w:szCs w:val="24"/>
        </w:rPr>
        <w:t>dal</w:t>
      </w:r>
      <w:proofErr w:type="gramEnd"/>
      <w:r w:rsidRPr="0079261C">
        <w:rPr>
          <w:sz w:val="24"/>
          <w:szCs w:val="24"/>
        </w:rPr>
        <w:t xml:space="preserve"> co</w:t>
      </w:r>
      <w:r w:rsidRPr="0079261C">
        <w:rPr>
          <w:sz w:val="24"/>
          <w:szCs w:val="24"/>
        </w:rPr>
        <w:t>n</w:t>
      </w:r>
      <w:r w:rsidRPr="0079261C">
        <w:rPr>
          <w:sz w:val="24"/>
          <w:szCs w:val="24"/>
        </w:rPr>
        <w:t>fine con la viabilità di Piano;</w:t>
      </w:r>
    </w:p>
    <w:p w:rsidR="00790452" w:rsidRPr="0079261C" w:rsidRDefault="00790452" w:rsidP="00790452">
      <w:pPr>
        <w:numPr>
          <w:ilvl w:val="0"/>
          <w:numId w:val="6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per</w:t>
      </w:r>
      <w:proofErr w:type="gramEnd"/>
      <w:r w:rsidRPr="0079261C">
        <w:rPr>
          <w:sz w:val="24"/>
          <w:szCs w:val="24"/>
        </w:rPr>
        <w:t xml:space="preserve"> lotti </w:t>
      </w:r>
      <w:r>
        <w:rPr>
          <w:sz w:val="24"/>
          <w:szCs w:val="24"/>
        </w:rPr>
        <w:t xml:space="preserve">uguali o </w:t>
      </w:r>
      <w:r w:rsidRPr="0079261C">
        <w:rPr>
          <w:sz w:val="24"/>
          <w:szCs w:val="24"/>
        </w:rPr>
        <w:t xml:space="preserve">superiori ai 10.000 m² 6 ml. </w:t>
      </w:r>
      <w:proofErr w:type="gramStart"/>
      <w:r w:rsidRPr="0079261C">
        <w:rPr>
          <w:sz w:val="24"/>
          <w:szCs w:val="24"/>
        </w:rPr>
        <w:t>dal</w:t>
      </w:r>
      <w:proofErr w:type="gramEnd"/>
      <w:r w:rsidRPr="0079261C">
        <w:rPr>
          <w:sz w:val="24"/>
          <w:szCs w:val="24"/>
        </w:rPr>
        <w:t xml:space="preserve"> confine con altri lo</w:t>
      </w:r>
      <w:r w:rsidRPr="0079261C">
        <w:rPr>
          <w:sz w:val="24"/>
          <w:szCs w:val="24"/>
        </w:rPr>
        <w:t>t</w:t>
      </w:r>
      <w:r w:rsidRPr="0079261C">
        <w:rPr>
          <w:sz w:val="24"/>
          <w:szCs w:val="24"/>
        </w:rPr>
        <w:t xml:space="preserve">ti; 12 ml. </w:t>
      </w:r>
      <w:proofErr w:type="gramStart"/>
      <w:r w:rsidRPr="0079261C">
        <w:rPr>
          <w:sz w:val="24"/>
          <w:szCs w:val="24"/>
        </w:rPr>
        <w:t>dal</w:t>
      </w:r>
      <w:proofErr w:type="gramEnd"/>
      <w:r w:rsidRPr="0079261C">
        <w:rPr>
          <w:sz w:val="24"/>
          <w:szCs w:val="24"/>
        </w:rPr>
        <w:t xml:space="preserve"> confine con la viabilità di Piano;</w:t>
      </w:r>
    </w:p>
    <w:p w:rsidR="00790452" w:rsidRPr="0079261C" w:rsidRDefault="00790452" w:rsidP="00790452">
      <w:pPr>
        <w:numPr>
          <w:ilvl w:val="0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parcheggi</w:t>
      </w:r>
      <w:proofErr w:type="gramEnd"/>
      <w:r w:rsidRPr="0079261C">
        <w:rPr>
          <w:sz w:val="24"/>
          <w:szCs w:val="24"/>
        </w:rPr>
        <w:t xml:space="preserve"> privati: andranno previsti all'interno dei lotti parcheggi al servizio degli addetti in misura non inferiore a 1 m² ogni 15 m² di s</w:t>
      </w:r>
      <w:r w:rsidRPr="0079261C">
        <w:rPr>
          <w:sz w:val="24"/>
          <w:szCs w:val="24"/>
        </w:rPr>
        <w:t>u</w:t>
      </w:r>
      <w:r w:rsidRPr="0079261C">
        <w:rPr>
          <w:sz w:val="24"/>
          <w:szCs w:val="24"/>
        </w:rPr>
        <w:t>perficie coperta calpestabile re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lizzata, ed in ogni caso, un rapporto non inferiore ad un posto ma</w:t>
      </w:r>
      <w:r w:rsidRPr="0079261C">
        <w:rPr>
          <w:sz w:val="24"/>
          <w:szCs w:val="24"/>
        </w:rPr>
        <w:t>c</w:t>
      </w:r>
      <w:r w:rsidRPr="0079261C">
        <w:rPr>
          <w:sz w:val="24"/>
          <w:szCs w:val="24"/>
        </w:rPr>
        <w:t>china di 15 m²  per addetto.</w:t>
      </w:r>
    </w:p>
    <w:p w:rsidR="00790452" w:rsidRPr="0079261C" w:rsidRDefault="00790452" w:rsidP="00790452">
      <w:pPr>
        <w:numPr>
          <w:ilvl w:val="0"/>
          <w:numId w:val="8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piante</w:t>
      </w:r>
      <w:proofErr w:type="gramEnd"/>
      <w:r w:rsidRPr="0079261C">
        <w:rPr>
          <w:sz w:val="24"/>
          <w:szCs w:val="24"/>
        </w:rPr>
        <w:t>: andranno messe a dimora nuove alberature in misura non inf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riore a 1 pianta ogni 500 m³; tali alberature di tipo ornamentale dovra</w:t>
      </w:r>
      <w:r w:rsidRPr="0079261C">
        <w:rPr>
          <w:sz w:val="24"/>
          <w:szCs w:val="24"/>
        </w:rPr>
        <w:t>n</w:t>
      </w:r>
      <w:r w:rsidRPr="0079261C">
        <w:rPr>
          <w:sz w:val="24"/>
          <w:szCs w:val="24"/>
        </w:rPr>
        <w:t>no avere un'altezza non inferi</w:t>
      </w:r>
      <w:r w:rsidRPr="0079261C">
        <w:rPr>
          <w:sz w:val="24"/>
          <w:szCs w:val="24"/>
        </w:rPr>
        <w:t>o</w:t>
      </w:r>
      <w:r w:rsidRPr="0079261C">
        <w:rPr>
          <w:sz w:val="24"/>
          <w:szCs w:val="24"/>
        </w:rPr>
        <w:t>re a m 3,50 all'atto della messa a dimora. La messa a dimora delle piante dovrà essere completata entro 12 mesi dall'inizio delle attività produttive.</w:t>
      </w:r>
    </w:p>
    <w:p w:rsidR="00790452" w:rsidRPr="0079261C" w:rsidRDefault="00790452" w:rsidP="00790452">
      <w:pPr>
        <w:spacing w:after="240" w:line="360" w:lineRule="auto"/>
        <w:ind w:left="283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É ammessa la conservazione degli edifici con destinazione produttiva, i relativi lotti di pertinenza degli edifici saranno d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finiti all'interno del Piano di utilizzazione delle aree.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Art. 2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 w:rsidRPr="0079261C">
        <w:rPr>
          <w:b/>
          <w:sz w:val="24"/>
          <w:szCs w:val="24"/>
          <w:u w:val="single"/>
        </w:rPr>
        <w:t xml:space="preserve">Zona “A1” – </w:t>
      </w:r>
      <w:r w:rsidRPr="0079261C">
        <w:rPr>
          <w:b/>
          <w:caps/>
          <w:sz w:val="24"/>
          <w:szCs w:val="24"/>
          <w:u w:val="single"/>
        </w:rPr>
        <w:t>Aree ex artigianali, PIP e/o AIP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lastRenderedPageBreak/>
        <w:t>All’interno di tali aree sono ammesse costruzioni per lo svolgimento di attività artigianali, produttive e di servizio, concessionarie di macchin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ri, veicoli industriali ed aut</w:t>
      </w:r>
      <w:r w:rsidRPr="0079261C">
        <w:rPr>
          <w:sz w:val="24"/>
          <w:szCs w:val="24"/>
        </w:rPr>
        <w:t>o</w:t>
      </w:r>
      <w:r w:rsidRPr="0079261C">
        <w:rPr>
          <w:sz w:val="24"/>
          <w:szCs w:val="24"/>
        </w:rPr>
        <w:t>veicoli con officine annesse.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In tale zona è ammessa la conservazione dei volumi e delle attività es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stenti, purché regolarmente autorizzati. In caso di richiesta di ampli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mento, di demolizione e ricostruzione, di nuova costruzione, la perce</w:t>
      </w:r>
      <w:r w:rsidRPr="0079261C">
        <w:rPr>
          <w:sz w:val="24"/>
          <w:szCs w:val="24"/>
        </w:rPr>
        <w:t>n</w:t>
      </w:r>
      <w:r w:rsidRPr="0079261C">
        <w:rPr>
          <w:sz w:val="24"/>
          <w:szCs w:val="24"/>
        </w:rPr>
        <w:t>tuale massima di cope</w:t>
      </w:r>
      <w:r w:rsidRPr="0079261C">
        <w:rPr>
          <w:sz w:val="24"/>
          <w:szCs w:val="24"/>
        </w:rPr>
        <w:t>r</w:t>
      </w:r>
      <w:r w:rsidRPr="0079261C">
        <w:rPr>
          <w:sz w:val="24"/>
          <w:szCs w:val="24"/>
        </w:rPr>
        <w:t>tura (rapporto tra area edificata ed area totale del lotto) è del 50%, indipendentemente dalla superficie del lo</w:t>
      </w:r>
      <w:r w:rsidRPr="0079261C">
        <w:rPr>
          <w:sz w:val="24"/>
          <w:szCs w:val="24"/>
        </w:rPr>
        <w:t>t</w:t>
      </w:r>
      <w:r w:rsidRPr="0079261C">
        <w:rPr>
          <w:sz w:val="24"/>
          <w:szCs w:val="24"/>
        </w:rPr>
        <w:t>to.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Per le distanze dai confini con altre proprietà e le distanze di rispetto dalla strada si applicano le prescrizioni di cui all’art. 1.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Restano escluse le sopraelevazioni e gli ampliamenti, per i quali, fermo restando i diritti di terzi e le normative vigenti, è consentito il manten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mento degli allineamenti in orizzontale ed in verticale nell’ambito delle sagome esistenti. In ogni caso deve essere garantito un distacco minimo di mt 4 dai confini di proprietà e di mt. 6 dal confine verso fronte strada.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E’ consentita la realizzazione di un alloggio per il custode fino ad un massimo di 120 m² calpestabili. Per gli uffici ed i servizi complementari la superficie deve essere proporzionata al numero di addetti. Tale ind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cazione sarà valutata in via discrezionale dal Consorzio con un massimo del 15% della cubatura industriale oggetto di concessione.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Sono previste aree per la commercializzazione dei prodotti della stessa azienda nella misura del 15% della superficie coperta e con il limite massimo di 250 m².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Parcheggi privati: andranno previsti all'interno dei lotti parcheggi al servizio degli addetti in misura non inferiore a 1 m² ogni 15 m² di s</w:t>
      </w:r>
      <w:r w:rsidRPr="0079261C">
        <w:rPr>
          <w:sz w:val="24"/>
          <w:szCs w:val="24"/>
        </w:rPr>
        <w:t>u</w:t>
      </w:r>
      <w:r w:rsidRPr="0079261C">
        <w:rPr>
          <w:sz w:val="24"/>
          <w:szCs w:val="24"/>
        </w:rPr>
        <w:t>perficie coperta calpestabile re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lizzata, ed in ogni caso, un rapporto non inferiore ad un posto ma</w:t>
      </w:r>
      <w:r w:rsidRPr="0079261C">
        <w:rPr>
          <w:sz w:val="24"/>
          <w:szCs w:val="24"/>
        </w:rPr>
        <w:t>c</w:t>
      </w:r>
      <w:r w:rsidRPr="0079261C">
        <w:rPr>
          <w:sz w:val="24"/>
          <w:szCs w:val="24"/>
        </w:rPr>
        <w:t>china di 15 m</w:t>
      </w:r>
      <w:proofErr w:type="gramStart"/>
      <w:r w:rsidRPr="0079261C">
        <w:rPr>
          <w:sz w:val="24"/>
          <w:szCs w:val="24"/>
        </w:rPr>
        <w:t>²  per</w:t>
      </w:r>
      <w:proofErr w:type="gramEnd"/>
      <w:r w:rsidRPr="0079261C">
        <w:rPr>
          <w:sz w:val="24"/>
          <w:szCs w:val="24"/>
        </w:rPr>
        <w:t xml:space="preserve"> addetto.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Piante: andranno messe a dimora nuove alberature in misura non inf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riore a 1 pianta ogni 500 m³; tali alberature di tipo ornamentale dovra</w:t>
      </w:r>
      <w:r w:rsidRPr="0079261C">
        <w:rPr>
          <w:sz w:val="24"/>
          <w:szCs w:val="24"/>
        </w:rPr>
        <w:t>n</w:t>
      </w:r>
      <w:r w:rsidRPr="0079261C">
        <w:rPr>
          <w:sz w:val="24"/>
          <w:szCs w:val="24"/>
        </w:rPr>
        <w:t>no avere un'altezza non inferi</w:t>
      </w:r>
      <w:r w:rsidRPr="0079261C">
        <w:rPr>
          <w:sz w:val="24"/>
          <w:szCs w:val="24"/>
        </w:rPr>
        <w:t>o</w:t>
      </w:r>
      <w:r w:rsidRPr="0079261C">
        <w:rPr>
          <w:sz w:val="24"/>
          <w:szCs w:val="24"/>
        </w:rPr>
        <w:t>re a m 3,50 all'atto della messa a dimora. La messa a dimora delle piante dovrà essere completata entro 12 mesi dall'inizio delle attività produttive.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Art. 3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 w:rsidRPr="0079261C">
        <w:rPr>
          <w:b/>
          <w:sz w:val="24"/>
          <w:szCs w:val="24"/>
          <w:u w:val="single"/>
        </w:rPr>
        <w:t>Zona “A</w:t>
      </w:r>
      <w:r w:rsidRPr="0079261C">
        <w:rPr>
          <w:b/>
          <w:sz w:val="24"/>
          <w:szCs w:val="24"/>
          <w:u w:val="single"/>
          <w:vertAlign w:val="subscript"/>
        </w:rPr>
        <w:t>2</w:t>
      </w:r>
      <w:r w:rsidRPr="0079261C">
        <w:rPr>
          <w:b/>
          <w:sz w:val="24"/>
          <w:szCs w:val="24"/>
          <w:u w:val="single"/>
        </w:rPr>
        <w:t xml:space="preserve">” – </w:t>
      </w:r>
      <w:r w:rsidRPr="0079261C">
        <w:rPr>
          <w:b/>
          <w:caps/>
          <w:sz w:val="24"/>
          <w:szCs w:val="24"/>
          <w:u w:val="single"/>
        </w:rPr>
        <w:t>Aree per insediamenti promiscui e delocalizzazione attività dal tessuto urbano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lastRenderedPageBreak/>
        <w:t>In tali zone si applicano le norme di cui all’art. 2. Per l’assegnazione dei lotti in tali zone hanno priorità le aziende soggette a delocalizzazione dal tessuto urbano.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Art. 4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 w:rsidRPr="0079261C">
        <w:rPr>
          <w:b/>
          <w:sz w:val="24"/>
          <w:szCs w:val="24"/>
          <w:u w:val="single"/>
        </w:rPr>
        <w:t xml:space="preserve">Zona “B” – </w:t>
      </w:r>
      <w:r w:rsidRPr="0079261C">
        <w:rPr>
          <w:b/>
          <w:caps/>
          <w:sz w:val="24"/>
          <w:szCs w:val="24"/>
          <w:u w:val="single"/>
        </w:rPr>
        <w:t>Aree per attività a servizio della produzione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In tali zone è consentita la costruzione di tutte le attrezzature di servizio per le attività pr</w:t>
      </w:r>
      <w:r w:rsidRPr="0079261C">
        <w:rPr>
          <w:sz w:val="24"/>
          <w:szCs w:val="24"/>
        </w:rPr>
        <w:t>o</w:t>
      </w:r>
      <w:r w:rsidRPr="0079261C">
        <w:rPr>
          <w:sz w:val="24"/>
          <w:szCs w:val="24"/>
        </w:rPr>
        <w:t xml:space="preserve">duttive, che a titolo esemplificativo possono essere: 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uffici</w:t>
      </w:r>
      <w:proofErr w:type="gramEnd"/>
      <w:r w:rsidRPr="0079261C">
        <w:rPr>
          <w:sz w:val="24"/>
          <w:szCs w:val="24"/>
        </w:rPr>
        <w:t xml:space="preserve"> del Consorzio; 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uffici</w:t>
      </w:r>
      <w:proofErr w:type="gramEnd"/>
      <w:r w:rsidRPr="0079261C">
        <w:rPr>
          <w:sz w:val="24"/>
          <w:szCs w:val="24"/>
        </w:rPr>
        <w:t xml:space="preserve"> per società di servizio; 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centri</w:t>
      </w:r>
      <w:proofErr w:type="gramEnd"/>
      <w:r w:rsidRPr="0079261C">
        <w:rPr>
          <w:sz w:val="24"/>
          <w:szCs w:val="24"/>
        </w:rPr>
        <w:t xml:space="preserve"> sociali;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asili</w:t>
      </w:r>
      <w:proofErr w:type="gramEnd"/>
      <w:r w:rsidRPr="0079261C">
        <w:rPr>
          <w:sz w:val="24"/>
          <w:szCs w:val="24"/>
        </w:rPr>
        <w:t xml:space="preserve"> nido, scuole materne;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centri</w:t>
      </w:r>
      <w:proofErr w:type="gramEnd"/>
      <w:r w:rsidRPr="0079261C">
        <w:rPr>
          <w:sz w:val="24"/>
          <w:szCs w:val="24"/>
        </w:rPr>
        <w:t xml:space="preserve"> fieristici con annessi uffici, alberghi e foresterie;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uffici</w:t>
      </w:r>
      <w:proofErr w:type="gramEnd"/>
      <w:r w:rsidRPr="0079261C">
        <w:rPr>
          <w:sz w:val="24"/>
          <w:szCs w:val="24"/>
        </w:rPr>
        <w:t xml:space="preserve"> e strutture pubbliche di interesse territoriale;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strutture</w:t>
      </w:r>
      <w:proofErr w:type="gramEnd"/>
      <w:r w:rsidRPr="0079261C">
        <w:rPr>
          <w:sz w:val="24"/>
          <w:szCs w:val="24"/>
        </w:rPr>
        <w:t xml:space="preserve"> sanitarie ed uffici connessi;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società</w:t>
      </w:r>
      <w:proofErr w:type="gramEnd"/>
      <w:r w:rsidRPr="0079261C">
        <w:rPr>
          <w:sz w:val="24"/>
          <w:szCs w:val="24"/>
        </w:rPr>
        <w:t xml:space="preserve"> o consorzi di trasportatori;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attività</w:t>
      </w:r>
      <w:proofErr w:type="gramEnd"/>
      <w:r w:rsidRPr="0079261C">
        <w:rPr>
          <w:sz w:val="24"/>
          <w:szCs w:val="24"/>
        </w:rPr>
        <w:t xml:space="preserve"> di ricerca;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attività</w:t>
      </w:r>
      <w:proofErr w:type="gramEnd"/>
      <w:r w:rsidRPr="0079261C">
        <w:rPr>
          <w:sz w:val="24"/>
          <w:szCs w:val="24"/>
        </w:rPr>
        <w:t xml:space="preserve"> di ristorazione;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sono</w:t>
      </w:r>
      <w:proofErr w:type="gramEnd"/>
      <w:r w:rsidRPr="0079261C">
        <w:rPr>
          <w:sz w:val="24"/>
          <w:szCs w:val="24"/>
        </w:rPr>
        <w:t xml:space="preserve"> ammesse strutture unitarie organizzate per funzioni quali formazione, informazione e ricerca;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servizi</w:t>
      </w:r>
      <w:proofErr w:type="gramEnd"/>
      <w:r w:rsidRPr="0079261C">
        <w:rPr>
          <w:sz w:val="24"/>
          <w:szCs w:val="24"/>
        </w:rPr>
        <w:t xml:space="preserve"> informatici di sostegno e consulenza ed elaborazione dati per lo sv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luppo delle imprese;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attività</w:t>
      </w:r>
      <w:proofErr w:type="gramEnd"/>
      <w:r w:rsidRPr="0079261C">
        <w:rPr>
          <w:sz w:val="24"/>
          <w:szCs w:val="24"/>
        </w:rPr>
        <w:t xml:space="preserve"> di interscambio e contrattazione;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servizi</w:t>
      </w:r>
      <w:proofErr w:type="gramEnd"/>
      <w:r w:rsidRPr="0079261C">
        <w:rPr>
          <w:sz w:val="24"/>
          <w:szCs w:val="24"/>
        </w:rPr>
        <w:t xml:space="preserve"> direzionali;</w:t>
      </w:r>
    </w:p>
    <w:p w:rsidR="00790452" w:rsidRPr="0079261C" w:rsidRDefault="00790452" w:rsidP="00790452">
      <w:pPr>
        <w:numPr>
          <w:ilvl w:val="1"/>
          <w:numId w:val="7"/>
        </w:numPr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uffici</w:t>
      </w:r>
      <w:proofErr w:type="gramEnd"/>
      <w:r w:rsidRPr="0079261C">
        <w:rPr>
          <w:sz w:val="24"/>
          <w:szCs w:val="24"/>
        </w:rPr>
        <w:t xml:space="preserve"> pubblici, finanziari, postali, assicurativi e bancari, VV. FF. ecc..</w:t>
      </w:r>
    </w:p>
    <w:p w:rsidR="00790452" w:rsidRPr="0079261C" w:rsidRDefault="00790452" w:rsidP="00790452">
      <w:pPr>
        <w:spacing w:after="240" w:line="360" w:lineRule="auto"/>
        <w:ind w:left="540"/>
        <w:jc w:val="both"/>
        <w:rPr>
          <w:sz w:val="24"/>
          <w:szCs w:val="24"/>
        </w:rPr>
      </w:pPr>
      <w:r w:rsidRPr="0079261C">
        <w:rPr>
          <w:sz w:val="24"/>
          <w:szCs w:val="24"/>
        </w:rPr>
        <w:lastRenderedPageBreak/>
        <w:t>É consentita l'edificazione di alloggi per custodi e addetti alla sorv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 xml:space="preserve">glianza degli 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difici previsti, nella misura di 120 m² massimo.</w:t>
      </w:r>
    </w:p>
    <w:p w:rsidR="00790452" w:rsidRPr="0079261C" w:rsidRDefault="00790452" w:rsidP="00790452">
      <w:pPr>
        <w:spacing w:after="240" w:line="360" w:lineRule="auto"/>
        <w:ind w:left="54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Rapporto di copertura massimo: 50% della superficie totale; nel ca</w:t>
      </w:r>
      <w:r w:rsidRPr="0079261C">
        <w:rPr>
          <w:sz w:val="24"/>
          <w:szCs w:val="24"/>
        </w:rPr>
        <w:t>l</w:t>
      </w:r>
      <w:r w:rsidRPr="0079261C">
        <w:rPr>
          <w:sz w:val="24"/>
          <w:szCs w:val="24"/>
        </w:rPr>
        <w:t>colo vanno computati i porticati coperti sottostanti ai fabbricati; sono inoltre compresi nel calcolo i percorsi pedonali coperti esterni ai fa</w:t>
      </w:r>
      <w:r w:rsidRPr="0079261C">
        <w:rPr>
          <w:sz w:val="24"/>
          <w:szCs w:val="24"/>
        </w:rPr>
        <w:t>b</w:t>
      </w:r>
      <w:r w:rsidRPr="0079261C">
        <w:rPr>
          <w:sz w:val="24"/>
          <w:szCs w:val="24"/>
        </w:rPr>
        <w:t>bricati, i passaggi sospesi coperti o scope</w:t>
      </w:r>
      <w:r w:rsidRPr="0079261C">
        <w:rPr>
          <w:sz w:val="24"/>
          <w:szCs w:val="24"/>
        </w:rPr>
        <w:t>r</w:t>
      </w:r>
      <w:r w:rsidRPr="0079261C">
        <w:rPr>
          <w:sz w:val="24"/>
          <w:szCs w:val="24"/>
        </w:rPr>
        <w:t>ti.</w:t>
      </w:r>
    </w:p>
    <w:p w:rsidR="00790452" w:rsidRPr="0079261C" w:rsidRDefault="00790452" w:rsidP="00790452">
      <w:pPr>
        <w:spacing w:after="240" w:line="360" w:lineRule="auto"/>
        <w:ind w:left="54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Indice di cubatura 3 m³/m².</w:t>
      </w:r>
    </w:p>
    <w:p w:rsidR="00790452" w:rsidRPr="0079261C" w:rsidRDefault="00790452" w:rsidP="00790452">
      <w:pPr>
        <w:spacing w:after="240" w:line="360" w:lineRule="auto"/>
        <w:ind w:left="54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 distacchi minimi delle costruzioni dai fronti stradali saranno di ml 12, mentre i d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stacchi minimi dai confini con altri lotti saranno di ml. 6.</w:t>
      </w:r>
    </w:p>
    <w:p w:rsidR="00790452" w:rsidRPr="0079261C" w:rsidRDefault="00790452" w:rsidP="00790452">
      <w:pPr>
        <w:spacing w:after="240" w:line="360" w:lineRule="auto"/>
        <w:ind w:left="54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L'altezza massima è di m. 14 calcolata a partire dalla quota del ma</w:t>
      </w:r>
      <w:r w:rsidRPr="0079261C">
        <w:rPr>
          <w:sz w:val="24"/>
          <w:szCs w:val="24"/>
        </w:rPr>
        <w:t>r</w:t>
      </w:r>
      <w:r w:rsidRPr="0079261C">
        <w:rPr>
          <w:sz w:val="24"/>
          <w:szCs w:val="24"/>
        </w:rPr>
        <w:t>ciapiede o della sistemazione del terreno fino al piano di calpestio del te</w:t>
      </w:r>
      <w:r w:rsidRPr="0079261C">
        <w:rPr>
          <w:sz w:val="24"/>
          <w:szCs w:val="24"/>
        </w:rPr>
        <w:t>r</w:t>
      </w:r>
      <w:r w:rsidRPr="0079261C">
        <w:rPr>
          <w:sz w:val="24"/>
          <w:szCs w:val="24"/>
        </w:rPr>
        <w:t>razzo di copertura, nel caso di edifici coperti a terrazzo; nel caso di edifici coperti a tetto con pendenza non superiore al 35% e colmo p</w:t>
      </w:r>
      <w:r w:rsidRPr="0079261C">
        <w:rPr>
          <w:sz w:val="24"/>
          <w:szCs w:val="24"/>
        </w:rPr>
        <w:t>o</w:t>
      </w:r>
      <w:r w:rsidRPr="0079261C">
        <w:rPr>
          <w:sz w:val="24"/>
          <w:szCs w:val="24"/>
        </w:rPr>
        <w:t>sto non oltre m 2,50 dall'ultimo solaio, in corrispondenza dell'intr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dosso del solaio di copertura dell'ultimo piano abitabile. Nel caso in cui la pendenza della falda sia superiore al 35% l'altezza va misurata ai 2/3 della pende</w:t>
      </w:r>
      <w:r w:rsidRPr="0079261C">
        <w:rPr>
          <w:sz w:val="24"/>
          <w:szCs w:val="24"/>
        </w:rPr>
        <w:t>n</w:t>
      </w:r>
      <w:r w:rsidRPr="0079261C">
        <w:rPr>
          <w:sz w:val="24"/>
          <w:szCs w:val="24"/>
        </w:rPr>
        <w:t>za.</w:t>
      </w:r>
    </w:p>
    <w:p w:rsidR="00790452" w:rsidRPr="0079261C" w:rsidRDefault="00790452" w:rsidP="00790452">
      <w:pPr>
        <w:spacing w:after="240" w:line="360" w:lineRule="auto"/>
        <w:ind w:left="54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Parcheggi privati: 1 m² ogni 10 m³. Tali parcheggi dovranno essere r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 xml:space="preserve">cavati nelle 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ree di proprietà, potranno, in parte o in tutto, essere re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lizzati in piani interrati.</w:t>
      </w:r>
    </w:p>
    <w:p w:rsidR="00790452" w:rsidRPr="0079261C" w:rsidRDefault="00790452" w:rsidP="00790452">
      <w:pPr>
        <w:spacing w:after="240" w:line="360" w:lineRule="auto"/>
        <w:ind w:left="54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Piante: le sistemazioni a verde del lotto saranno previste nei singoli progetti esecutivi, in ogni caso le alberature previste saranno poste a dimora in misura non inferiore di quanto previsto all’art. 1.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pacing w:val="-20"/>
          <w:sz w:val="24"/>
          <w:szCs w:val="24"/>
          <w:u w:val="single"/>
        </w:rPr>
      </w:pPr>
      <w:r>
        <w:rPr>
          <w:b/>
          <w:bCs/>
          <w:spacing w:val="-20"/>
          <w:sz w:val="24"/>
          <w:szCs w:val="24"/>
          <w:u w:val="single"/>
        </w:rPr>
        <w:t>Art. 5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 w:rsidRPr="0079261C">
        <w:rPr>
          <w:b/>
          <w:sz w:val="24"/>
          <w:szCs w:val="24"/>
          <w:u w:val="single"/>
        </w:rPr>
        <w:t xml:space="preserve">Zona “C” – </w:t>
      </w:r>
      <w:r w:rsidRPr="0079261C">
        <w:rPr>
          <w:b/>
          <w:caps/>
          <w:sz w:val="24"/>
          <w:szCs w:val="24"/>
          <w:u w:val="single"/>
        </w:rPr>
        <w:t>Aree per attività miste</w:t>
      </w:r>
    </w:p>
    <w:p w:rsidR="00790452" w:rsidRPr="0079261C" w:rsidRDefault="00790452" w:rsidP="00790452">
      <w:pPr>
        <w:spacing w:after="240" w:line="360" w:lineRule="auto"/>
        <w:jc w:val="both"/>
        <w:rPr>
          <w:bCs/>
          <w:sz w:val="24"/>
          <w:szCs w:val="24"/>
        </w:rPr>
      </w:pPr>
      <w:r w:rsidRPr="0079261C">
        <w:rPr>
          <w:bCs/>
          <w:sz w:val="24"/>
          <w:szCs w:val="24"/>
        </w:rPr>
        <w:t>In tali zone sono ammesse tutte le attività previste nelle zone “A” e “B”, nonché attività commerciali.</w:t>
      </w:r>
    </w:p>
    <w:p w:rsidR="00790452" w:rsidRDefault="00790452" w:rsidP="00790452">
      <w:pPr>
        <w:spacing w:after="240" w:line="360" w:lineRule="auto"/>
        <w:jc w:val="both"/>
        <w:rPr>
          <w:bCs/>
          <w:sz w:val="24"/>
          <w:szCs w:val="24"/>
        </w:rPr>
      </w:pPr>
      <w:r w:rsidRPr="0079261C">
        <w:rPr>
          <w:bCs/>
          <w:sz w:val="24"/>
          <w:szCs w:val="24"/>
        </w:rPr>
        <w:t xml:space="preserve">Per quanto attiene i parametri di utilizzazione e le norme tecniche si fa </w:t>
      </w:r>
      <w:r w:rsidRPr="0079261C">
        <w:rPr>
          <w:bCs/>
          <w:sz w:val="24"/>
          <w:szCs w:val="24"/>
        </w:rPr>
        <w:t>e</w:t>
      </w:r>
      <w:r w:rsidRPr="0079261C">
        <w:rPr>
          <w:bCs/>
          <w:sz w:val="24"/>
          <w:szCs w:val="24"/>
        </w:rPr>
        <w:t>spresso riferime</w:t>
      </w:r>
      <w:r w:rsidRPr="0079261C">
        <w:rPr>
          <w:bCs/>
          <w:sz w:val="24"/>
          <w:szCs w:val="24"/>
        </w:rPr>
        <w:t>n</w:t>
      </w:r>
      <w:r w:rsidRPr="0079261C">
        <w:rPr>
          <w:bCs/>
          <w:sz w:val="24"/>
          <w:szCs w:val="24"/>
        </w:rPr>
        <w:t xml:space="preserve">to alle </w:t>
      </w:r>
      <w:r>
        <w:rPr>
          <w:bCs/>
          <w:sz w:val="24"/>
          <w:szCs w:val="24"/>
        </w:rPr>
        <w:t>norme vigenti per le zone “A” (art. 1</w:t>
      </w:r>
      <w:r w:rsidRPr="0079261C">
        <w:rPr>
          <w:bCs/>
          <w:sz w:val="24"/>
          <w:szCs w:val="24"/>
        </w:rPr>
        <w:t>) nel caso di insediamento di attività produtt</w:t>
      </w:r>
      <w:r w:rsidRPr="0079261C">
        <w:rPr>
          <w:bCs/>
          <w:sz w:val="24"/>
          <w:szCs w:val="24"/>
        </w:rPr>
        <w:t>i</w:t>
      </w:r>
      <w:r w:rsidRPr="0079261C">
        <w:rPr>
          <w:bCs/>
          <w:sz w:val="24"/>
          <w:szCs w:val="24"/>
        </w:rPr>
        <w:t xml:space="preserve">ve e alle norme </w:t>
      </w:r>
      <w:r>
        <w:rPr>
          <w:bCs/>
          <w:sz w:val="24"/>
          <w:szCs w:val="24"/>
        </w:rPr>
        <w:t>vigenti per le zone “B” (art. 4</w:t>
      </w:r>
      <w:r w:rsidRPr="0079261C">
        <w:rPr>
          <w:bCs/>
          <w:sz w:val="24"/>
          <w:szCs w:val="24"/>
        </w:rPr>
        <w:t xml:space="preserve">) nel caso di insediamento </w:t>
      </w:r>
      <w:proofErr w:type="gramStart"/>
      <w:r w:rsidRPr="0079261C">
        <w:rPr>
          <w:bCs/>
          <w:sz w:val="24"/>
          <w:szCs w:val="24"/>
        </w:rPr>
        <w:t>di  attività</w:t>
      </w:r>
      <w:proofErr w:type="gramEnd"/>
      <w:r w:rsidRPr="0079261C">
        <w:rPr>
          <w:bCs/>
          <w:sz w:val="24"/>
          <w:szCs w:val="24"/>
        </w:rPr>
        <w:t xml:space="preserve"> a serv</w:t>
      </w:r>
      <w:r w:rsidRPr="0079261C">
        <w:rPr>
          <w:bCs/>
          <w:sz w:val="24"/>
          <w:szCs w:val="24"/>
        </w:rPr>
        <w:t>i</w:t>
      </w:r>
      <w:r w:rsidRPr="0079261C">
        <w:rPr>
          <w:bCs/>
          <w:sz w:val="24"/>
          <w:szCs w:val="24"/>
        </w:rPr>
        <w:t>zio.</w:t>
      </w:r>
    </w:p>
    <w:p w:rsidR="00790452" w:rsidRDefault="00790452" w:rsidP="00790452">
      <w:pPr>
        <w:spacing w:after="24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Nel caso di utilizzo per attività commerciale si dovrà fare, si ripete, per quanto attiene i parametri urbanistici e le norme tecniche, esclusivamente riferimento alle norme vigenti per le zone “B” (art. 4), fatta eccezione per i parcheggi che dovranno essere realizzati in ragione di mq 2,5 per ogni 10 mc.</w:t>
      </w:r>
    </w:p>
    <w:p w:rsidR="00790452" w:rsidRPr="0079261C" w:rsidRDefault="00790452" w:rsidP="00790452">
      <w:pPr>
        <w:spacing w:after="24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Nel caso di utilizzo di tali aree per attività commerciali gli insediamenti d</w:t>
      </w:r>
      <w:r>
        <w:rPr>
          <w:bCs/>
          <w:sz w:val="24"/>
          <w:szCs w:val="24"/>
        </w:rPr>
        <w:t>o</w:t>
      </w:r>
      <w:r>
        <w:rPr>
          <w:bCs/>
          <w:sz w:val="24"/>
          <w:szCs w:val="24"/>
        </w:rPr>
        <w:t>vranno essere conformi, anche, alle normative vigenti a carattere regionale, provinciale e comunale.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Art. 6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pacing w:val="-20"/>
          <w:sz w:val="24"/>
          <w:szCs w:val="24"/>
          <w:u w:val="single"/>
        </w:rPr>
      </w:pPr>
      <w:r w:rsidRPr="0079261C">
        <w:rPr>
          <w:b/>
          <w:bCs/>
          <w:spacing w:val="-20"/>
          <w:sz w:val="24"/>
          <w:szCs w:val="24"/>
          <w:u w:val="single"/>
        </w:rPr>
        <w:t>ZONA “D” -  AREE PER ATTREZZATURE TECNICHE E DI SERVIZIO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Tale zona è destinata ad attrezzature tecniche come sottostazioni elettriche, cabine di distribuzione, stazione di sollev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mento, depuratori, discariche, serbatoi di accumulo acqua, magazzini ed officine per la manutenzione dell’agglomerato, impianti per energia altern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tiva, impianti di trattamento e valorizzazione di rifiuti solidi urbani, etc.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Tali attrezzature saranno collocate su lotti di pertinenza e opportunamente recintate a cura degli Enti comp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tenti.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 xml:space="preserve">É consentita l'edificazione di alloggi per custodi, uffici, laboratori </w:t>
      </w:r>
      <w:proofErr w:type="gramStart"/>
      <w:r w:rsidRPr="0079261C">
        <w:rPr>
          <w:sz w:val="24"/>
          <w:szCs w:val="24"/>
        </w:rPr>
        <w:t>ecc..</w:t>
      </w:r>
      <w:proofErr w:type="gramEnd"/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Art. 7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 w:rsidRPr="0079261C">
        <w:rPr>
          <w:b/>
          <w:bCs/>
          <w:sz w:val="24"/>
          <w:szCs w:val="24"/>
          <w:u w:val="single"/>
        </w:rPr>
        <w:t>Zona “E” – AREE PER ATTREZZATURE SPORTIVE E PER IL TEMPO LIBERO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Le attrezzature di tale zona saranno realizzate attraverso la redazione di progetti unit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ri.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In tali zone è prevista l'installazione delle attrezzature sportive e ricre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tive come un complesso organizzato con annessi edifici accessori e di servizio; tali edifici non potranno essere più alti di m. 7 con massimo due piani fuori terra.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É proibita ogni edificazione non pertinente alle destinazioni sportive o ricreative previste. Comunque la superficie edificabile non può essere superiore al 20% di quella t</w:t>
      </w:r>
      <w:r w:rsidRPr="0079261C">
        <w:rPr>
          <w:sz w:val="24"/>
          <w:szCs w:val="24"/>
        </w:rPr>
        <w:t>o</w:t>
      </w:r>
      <w:r w:rsidRPr="0079261C">
        <w:rPr>
          <w:sz w:val="24"/>
          <w:szCs w:val="24"/>
        </w:rPr>
        <w:t>tale.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 xml:space="preserve">Indice di cubatura riferito alla superficie fondiaria: 0,70 m³/m². Sono ammesse al di fuori della cubatura prevista solo coperture provvisorie di tipo stagionale e tettoie </w:t>
      </w:r>
      <w:proofErr w:type="spellStart"/>
      <w:r w:rsidRPr="0079261C">
        <w:rPr>
          <w:sz w:val="24"/>
          <w:szCs w:val="24"/>
        </w:rPr>
        <w:t>stamponate</w:t>
      </w:r>
      <w:proofErr w:type="spellEnd"/>
      <w:r w:rsidRPr="0079261C">
        <w:rPr>
          <w:sz w:val="24"/>
          <w:szCs w:val="24"/>
        </w:rPr>
        <w:t xml:space="preserve"> di altezza non superiore a m. 3.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Parcheggi: per questa zona saranno comunque non inferiori a 5 m²/100 m² di superf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cie fondiaria. Sono computabili eventuali parcheggi pu</w:t>
      </w:r>
      <w:r w:rsidRPr="0079261C">
        <w:rPr>
          <w:sz w:val="24"/>
          <w:szCs w:val="24"/>
        </w:rPr>
        <w:t>b</w:t>
      </w:r>
      <w:r w:rsidRPr="0079261C">
        <w:rPr>
          <w:sz w:val="24"/>
          <w:szCs w:val="24"/>
        </w:rPr>
        <w:t>blici di relazione predisposti nelle adiacenze per altre destinazioni (v. zona B) purché utilizzati in diverse fasce or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rie.</w:t>
      </w:r>
    </w:p>
    <w:p w:rsidR="00790452" w:rsidRPr="0079261C" w:rsidRDefault="00790452" w:rsidP="00790452">
      <w:pPr>
        <w:spacing w:after="240" w:line="360" w:lineRule="auto"/>
        <w:ind w:firstLine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 xml:space="preserve">Piante: </w:t>
      </w:r>
      <w:proofErr w:type="gramStart"/>
      <w:r w:rsidRPr="0079261C">
        <w:rPr>
          <w:sz w:val="24"/>
          <w:szCs w:val="24"/>
        </w:rPr>
        <w:t>Vedi  art.</w:t>
      </w:r>
      <w:proofErr w:type="gramEnd"/>
      <w:r w:rsidRPr="0079261C">
        <w:rPr>
          <w:sz w:val="24"/>
          <w:szCs w:val="24"/>
        </w:rPr>
        <w:t xml:space="preserve"> 1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Art. 8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pacing w:val="-20"/>
          <w:sz w:val="24"/>
          <w:szCs w:val="24"/>
          <w:u w:val="single"/>
        </w:rPr>
      </w:pPr>
      <w:r w:rsidRPr="0079261C">
        <w:rPr>
          <w:b/>
          <w:bCs/>
          <w:spacing w:val="-20"/>
          <w:sz w:val="24"/>
          <w:szCs w:val="24"/>
          <w:u w:val="single"/>
        </w:rPr>
        <w:t xml:space="preserve">Zona “F” - ZONA PER IL CENTRO SMISTAMENTO MERCI 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Tale zona sarà realizzata con progetto unitario.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In tale zona è consentita l'edificazione delle attrezzature ind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spensabili al funzionamento del Centro Merci, quali tettoie, magazzini, silos, cisterne, edifici amministrativi e di servizio; le superfici coperte non potranno sup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rare il 35% dell'area totale.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Sono ammessi inoltre impianti di servizio al trasporto stradale (quali terminal autobus con relativi servizi, distributori di carburanti); stazioni di servizio, di ristoro (bar, self-service, ristoranti), attività di autotrasportatori e spedizionieri.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 distacchi minimi delle costruzioni dai fronti stradali sara</w:t>
      </w:r>
      <w:r w:rsidRPr="0079261C">
        <w:rPr>
          <w:sz w:val="24"/>
          <w:szCs w:val="24"/>
        </w:rPr>
        <w:t>n</w:t>
      </w:r>
      <w:r w:rsidRPr="0079261C">
        <w:rPr>
          <w:sz w:val="24"/>
          <w:szCs w:val="24"/>
        </w:rPr>
        <w:t>no di ml 12, mentre i distacchi minimi dai confini con altri lotti saranno di ml. 6.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pacing w:val="-20"/>
          <w:sz w:val="24"/>
          <w:szCs w:val="24"/>
          <w:u w:val="single"/>
        </w:rPr>
      </w:pPr>
      <w:r>
        <w:rPr>
          <w:b/>
          <w:bCs/>
          <w:spacing w:val="-20"/>
          <w:sz w:val="24"/>
          <w:szCs w:val="24"/>
          <w:u w:val="single"/>
        </w:rPr>
        <w:t>Art. 9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pacing w:val="-20"/>
          <w:sz w:val="24"/>
          <w:szCs w:val="24"/>
          <w:u w:val="single"/>
        </w:rPr>
      </w:pPr>
      <w:r w:rsidRPr="0079261C">
        <w:rPr>
          <w:b/>
          <w:bCs/>
          <w:spacing w:val="-20"/>
          <w:sz w:val="24"/>
          <w:szCs w:val="24"/>
          <w:u w:val="single"/>
        </w:rPr>
        <w:t>Zona “G” – AREE A VERDE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 xml:space="preserve">Le zone verdi incluse nel Nucleo si articolano in: </w:t>
      </w:r>
    </w:p>
    <w:p w:rsidR="00790452" w:rsidRPr="0079261C" w:rsidRDefault="00790452" w:rsidP="00790452">
      <w:pPr>
        <w:numPr>
          <w:ilvl w:val="0"/>
          <w:numId w:val="9"/>
        </w:numPr>
        <w:autoSpaceDE/>
        <w:autoSpaceDN/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zone</w:t>
      </w:r>
      <w:proofErr w:type="gramEnd"/>
      <w:r w:rsidRPr="0079261C">
        <w:rPr>
          <w:sz w:val="24"/>
          <w:szCs w:val="24"/>
        </w:rPr>
        <w:t xml:space="preserve"> a verde agricolo</w:t>
      </w:r>
    </w:p>
    <w:p w:rsidR="00790452" w:rsidRPr="0079261C" w:rsidRDefault="00790452" w:rsidP="00790452">
      <w:pPr>
        <w:numPr>
          <w:ilvl w:val="0"/>
          <w:numId w:val="9"/>
        </w:numPr>
        <w:autoSpaceDE/>
        <w:autoSpaceDN/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fasce</w:t>
      </w:r>
      <w:proofErr w:type="gramEnd"/>
      <w:r w:rsidRPr="0079261C">
        <w:rPr>
          <w:sz w:val="24"/>
          <w:szCs w:val="24"/>
        </w:rPr>
        <w:t xml:space="preserve"> di rispetto del margine stradale</w:t>
      </w:r>
    </w:p>
    <w:p w:rsidR="00790452" w:rsidRPr="0079261C" w:rsidRDefault="00790452" w:rsidP="00790452">
      <w:pPr>
        <w:numPr>
          <w:ilvl w:val="0"/>
          <w:numId w:val="9"/>
        </w:numPr>
        <w:autoSpaceDE/>
        <w:autoSpaceDN/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verde</w:t>
      </w:r>
      <w:proofErr w:type="gramEnd"/>
      <w:r w:rsidRPr="0079261C">
        <w:rPr>
          <w:sz w:val="24"/>
          <w:szCs w:val="24"/>
        </w:rPr>
        <w:t xml:space="preserve"> con vincolo archeologico</w:t>
      </w:r>
    </w:p>
    <w:p w:rsidR="00790452" w:rsidRPr="0079261C" w:rsidRDefault="00790452" w:rsidP="00790452">
      <w:pPr>
        <w:numPr>
          <w:ilvl w:val="0"/>
          <w:numId w:val="9"/>
        </w:numPr>
        <w:autoSpaceDE/>
        <w:autoSpaceDN/>
        <w:spacing w:after="240" w:line="360" w:lineRule="auto"/>
        <w:jc w:val="both"/>
        <w:rPr>
          <w:sz w:val="24"/>
          <w:szCs w:val="24"/>
        </w:rPr>
      </w:pPr>
      <w:proofErr w:type="gramStart"/>
      <w:r w:rsidRPr="0079261C">
        <w:rPr>
          <w:sz w:val="24"/>
          <w:szCs w:val="24"/>
        </w:rPr>
        <w:t>verde</w:t>
      </w:r>
      <w:proofErr w:type="gramEnd"/>
      <w:r w:rsidRPr="0079261C">
        <w:rPr>
          <w:sz w:val="24"/>
          <w:szCs w:val="24"/>
        </w:rPr>
        <w:t xml:space="preserve"> pubblico di rispetto dei corsi d'acqua e della fascia costiera.</w:t>
      </w:r>
    </w:p>
    <w:p w:rsidR="00790452" w:rsidRPr="0079261C" w:rsidRDefault="00790452" w:rsidP="00790452">
      <w:pPr>
        <w:numPr>
          <w:ilvl w:val="0"/>
          <w:numId w:val="9"/>
        </w:numPr>
        <w:autoSpaceDE/>
        <w:autoSpaceDN/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Discarica di categoria 2B con destinazione finale a verde pubblico attrezzato.</w:t>
      </w:r>
    </w:p>
    <w:p w:rsidR="00790452" w:rsidRPr="0079261C" w:rsidRDefault="00790452" w:rsidP="00790452">
      <w:pPr>
        <w:numPr>
          <w:ilvl w:val="1"/>
          <w:numId w:val="9"/>
        </w:numPr>
        <w:autoSpaceDE/>
        <w:autoSpaceDN/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  <w:u w:val="single"/>
        </w:rPr>
        <w:t>Zone a verde agricolo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Nelle zone verdi attualmente utilizzate ad uso agricolo è posto il vincolo di conservare l'uso del suolo esistente al momento dell'adozione del Piano. In caso di nuova edificazione saranno rispettati i seguenti par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metri</w:t>
      </w:r>
    </w:p>
    <w:p w:rsidR="00790452" w:rsidRPr="0079261C" w:rsidRDefault="00790452" w:rsidP="00790452">
      <w:pPr>
        <w:adjustRightInd w:val="0"/>
        <w:spacing w:after="120" w:line="360" w:lineRule="auto"/>
        <w:ind w:left="357"/>
        <w:rPr>
          <w:sz w:val="24"/>
          <w:szCs w:val="24"/>
        </w:rPr>
      </w:pPr>
      <w:r w:rsidRPr="0079261C">
        <w:rPr>
          <w:i/>
          <w:iCs/>
          <w:sz w:val="24"/>
          <w:szCs w:val="24"/>
        </w:rPr>
        <w:t>Abitazioni agricole</w:t>
      </w:r>
    </w:p>
    <w:p w:rsidR="00790452" w:rsidRPr="0079261C" w:rsidRDefault="00790452" w:rsidP="00790452">
      <w:pPr>
        <w:adjustRightInd w:val="0"/>
        <w:spacing w:after="120" w:line="360" w:lineRule="auto"/>
        <w:ind w:left="357"/>
        <w:rPr>
          <w:sz w:val="24"/>
          <w:szCs w:val="24"/>
        </w:rPr>
      </w:pPr>
      <w:r w:rsidRPr="0079261C">
        <w:rPr>
          <w:sz w:val="24"/>
          <w:szCs w:val="24"/>
        </w:rPr>
        <w:t xml:space="preserve">- </w:t>
      </w:r>
      <w:proofErr w:type="spellStart"/>
      <w:r w:rsidRPr="0079261C">
        <w:rPr>
          <w:sz w:val="24"/>
          <w:szCs w:val="24"/>
        </w:rPr>
        <w:t>If</w:t>
      </w:r>
      <w:proofErr w:type="spellEnd"/>
      <w:r w:rsidRPr="0079261C">
        <w:rPr>
          <w:sz w:val="24"/>
          <w:szCs w:val="24"/>
        </w:rPr>
        <w:t xml:space="preserve"> = 0,007 mq/mq</w:t>
      </w:r>
    </w:p>
    <w:p w:rsidR="00790452" w:rsidRPr="0079261C" w:rsidRDefault="00790452" w:rsidP="00790452">
      <w:pPr>
        <w:adjustRightInd w:val="0"/>
        <w:spacing w:after="120" w:line="360" w:lineRule="auto"/>
        <w:ind w:left="357"/>
        <w:rPr>
          <w:sz w:val="24"/>
          <w:szCs w:val="24"/>
        </w:rPr>
      </w:pPr>
      <w:r w:rsidRPr="0079261C">
        <w:rPr>
          <w:sz w:val="24"/>
          <w:szCs w:val="24"/>
        </w:rPr>
        <w:lastRenderedPageBreak/>
        <w:t>- H = 6,50</w:t>
      </w:r>
    </w:p>
    <w:p w:rsidR="00790452" w:rsidRPr="0079261C" w:rsidRDefault="00790452" w:rsidP="00790452">
      <w:pPr>
        <w:adjustRightInd w:val="0"/>
        <w:spacing w:after="120" w:line="360" w:lineRule="auto"/>
        <w:ind w:left="357"/>
        <w:rPr>
          <w:sz w:val="24"/>
          <w:szCs w:val="24"/>
        </w:rPr>
      </w:pPr>
      <w:r w:rsidRPr="0079261C">
        <w:rPr>
          <w:sz w:val="24"/>
          <w:szCs w:val="24"/>
        </w:rPr>
        <w:t xml:space="preserve">- </w:t>
      </w:r>
      <w:proofErr w:type="spellStart"/>
      <w:r w:rsidRPr="0079261C">
        <w:rPr>
          <w:sz w:val="24"/>
          <w:szCs w:val="24"/>
        </w:rPr>
        <w:t>sup</w:t>
      </w:r>
      <w:proofErr w:type="spellEnd"/>
      <w:r w:rsidRPr="0079261C">
        <w:rPr>
          <w:sz w:val="24"/>
          <w:szCs w:val="24"/>
        </w:rPr>
        <w:t>. minima di intervento = 20.000 mq</w:t>
      </w:r>
    </w:p>
    <w:p w:rsidR="00790452" w:rsidRPr="0079261C" w:rsidRDefault="00790452" w:rsidP="00790452">
      <w:pPr>
        <w:adjustRightInd w:val="0"/>
        <w:spacing w:after="120" w:line="360" w:lineRule="auto"/>
        <w:rPr>
          <w:sz w:val="24"/>
          <w:szCs w:val="24"/>
        </w:rPr>
      </w:pPr>
      <w:r w:rsidRPr="0079261C">
        <w:rPr>
          <w:i/>
          <w:iCs/>
          <w:sz w:val="24"/>
          <w:szCs w:val="24"/>
        </w:rPr>
        <w:t xml:space="preserve">Altri edifici </w:t>
      </w:r>
      <w:r w:rsidRPr="0079261C">
        <w:rPr>
          <w:sz w:val="24"/>
          <w:szCs w:val="24"/>
        </w:rPr>
        <w:t>(Impianti e attrezzature per la produzione agricola; Impianti zootecnici)</w:t>
      </w:r>
    </w:p>
    <w:p w:rsidR="00790452" w:rsidRPr="0079261C" w:rsidRDefault="00790452" w:rsidP="00790452">
      <w:pPr>
        <w:adjustRightInd w:val="0"/>
        <w:spacing w:after="120" w:line="360" w:lineRule="auto"/>
        <w:ind w:left="360"/>
        <w:rPr>
          <w:sz w:val="24"/>
          <w:szCs w:val="24"/>
        </w:rPr>
      </w:pPr>
      <w:r w:rsidRPr="0079261C">
        <w:rPr>
          <w:sz w:val="24"/>
          <w:szCs w:val="24"/>
        </w:rPr>
        <w:t xml:space="preserve">- </w:t>
      </w:r>
      <w:proofErr w:type="spellStart"/>
      <w:r w:rsidRPr="0079261C">
        <w:rPr>
          <w:sz w:val="24"/>
          <w:szCs w:val="24"/>
        </w:rPr>
        <w:t>If</w:t>
      </w:r>
      <w:proofErr w:type="spellEnd"/>
      <w:r w:rsidRPr="0079261C">
        <w:rPr>
          <w:sz w:val="24"/>
          <w:szCs w:val="24"/>
        </w:rPr>
        <w:t xml:space="preserve"> = 0,01 mq/mq</w:t>
      </w:r>
    </w:p>
    <w:p w:rsidR="00790452" w:rsidRPr="0079261C" w:rsidRDefault="00790452" w:rsidP="00790452">
      <w:pPr>
        <w:adjustRightInd w:val="0"/>
        <w:spacing w:after="120" w:line="360" w:lineRule="auto"/>
        <w:ind w:left="360"/>
        <w:rPr>
          <w:sz w:val="24"/>
          <w:szCs w:val="24"/>
        </w:rPr>
      </w:pPr>
      <w:r w:rsidRPr="0079261C">
        <w:rPr>
          <w:sz w:val="24"/>
          <w:szCs w:val="24"/>
        </w:rPr>
        <w:t>- H = 7,50</w:t>
      </w:r>
    </w:p>
    <w:p w:rsidR="00790452" w:rsidRPr="0079261C" w:rsidRDefault="00790452" w:rsidP="00790452">
      <w:pPr>
        <w:adjustRightInd w:val="0"/>
        <w:spacing w:after="120" w:line="360" w:lineRule="auto"/>
        <w:ind w:left="360"/>
        <w:rPr>
          <w:sz w:val="24"/>
          <w:szCs w:val="24"/>
        </w:rPr>
      </w:pPr>
      <w:r w:rsidRPr="0079261C">
        <w:rPr>
          <w:sz w:val="24"/>
          <w:szCs w:val="24"/>
        </w:rPr>
        <w:t xml:space="preserve">- </w:t>
      </w:r>
      <w:proofErr w:type="spellStart"/>
      <w:r w:rsidRPr="0079261C">
        <w:rPr>
          <w:sz w:val="24"/>
          <w:szCs w:val="24"/>
        </w:rPr>
        <w:t>Sup</w:t>
      </w:r>
      <w:proofErr w:type="spellEnd"/>
      <w:r w:rsidRPr="0079261C">
        <w:rPr>
          <w:sz w:val="24"/>
          <w:szCs w:val="24"/>
        </w:rPr>
        <w:t>. minima del fondo = 10.000 mq</w:t>
      </w:r>
    </w:p>
    <w:p w:rsidR="00790452" w:rsidRPr="0079261C" w:rsidRDefault="00790452" w:rsidP="00790452">
      <w:pPr>
        <w:numPr>
          <w:ilvl w:val="1"/>
          <w:numId w:val="9"/>
        </w:numPr>
        <w:adjustRightInd w:val="0"/>
        <w:spacing w:after="120" w:line="360" w:lineRule="auto"/>
        <w:rPr>
          <w:sz w:val="24"/>
          <w:szCs w:val="24"/>
        </w:rPr>
      </w:pPr>
      <w:r w:rsidRPr="0079261C">
        <w:rPr>
          <w:sz w:val="24"/>
          <w:szCs w:val="24"/>
          <w:u w:val="single"/>
        </w:rPr>
        <w:t>Fasce di rispetto margine stradale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Tali zone comportano il vincolo di non edificazione ed il divieto di apr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 xml:space="preserve">re accessi ai lotti o di strade private non previste dal Consorzio. É fatto divieto di adibire tali zone a discariche, depositi o simili lungo la S.S. 106; è consentita l'installazione di insegne pubblicitarie delle sole ditte industriali e artigianali insediate nel Nucleo stesso, </w:t>
      </w:r>
      <w:proofErr w:type="spellStart"/>
      <w:r w:rsidRPr="0079261C">
        <w:rPr>
          <w:sz w:val="24"/>
          <w:szCs w:val="24"/>
        </w:rPr>
        <w:t>purchè</w:t>
      </w:r>
      <w:proofErr w:type="spellEnd"/>
      <w:r w:rsidRPr="0079261C">
        <w:rPr>
          <w:sz w:val="24"/>
          <w:szCs w:val="24"/>
        </w:rPr>
        <w:t xml:space="preserve"> ne sia gara</w:t>
      </w:r>
      <w:r w:rsidRPr="0079261C">
        <w:rPr>
          <w:sz w:val="24"/>
          <w:szCs w:val="24"/>
        </w:rPr>
        <w:t>n</w:t>
      </w:r>
      <w:r w:rsidRPr="0079261C">
        <w:rPr>
          <w:sz w:val="24"/>
          <w:szCs w:val="24"/>
        </w:rPr>
        <w:t>tita la manutenzione e il corretto inserimento ambientale. Nella cart</w:t>
      </w:r>
      <w:r w:rsidRPr="0079261C">
        <w:rPr>
          <w:sz w:val="24"/>
          <w:szCs w:val="24"/>
        </w:rPr>
        <w:t>o</w:t>
      </w:r>
      <w:r w:rsidRPr="0079261C">
        <w:rPr>
          <w:sz w:val="24"/>
          <w:szCs w:val="24"/>
        </w:rPr>
        <w:t>grafia t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li fasce sono assimilate alle aree verdi di rispetto.</w:t>
      </w:r>
    </w:p>
    <w:p w:rsidR="00790452" w:rsidRPr="0079261C" w:rsidRDefault="00790452" w:rsidP="00790452">
      <w:pPr>
        <w:numPr>
          <w:ilvl w:val="1"/>
          <w:numId w:val="9"/>
        </w:numPr>
        <w:autoSpaceDE/>
        <w:autoSpaceDN/>
        <w:spacing w:after="240" w:line="360" w:lineRule="auto"/>
        <w:jc w:val="both"/>
        <w:rPr>
          <w:sz w:val="24"/>
          <w:szCs w:val="24"/>
          <w:u w:val="single"/>
        </w:rPr>
      </w:pPr>
      <w:r w:rsidRPr="0079261C">
        <w:rPr>
          <w:sz w:val="24"/>
          <w:szCs w:val="24"/>
          <w:u w:val="single"/>
        </w:rPr>
        <w:t>Verde con vincolo archeologico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Nella zona archeologica sarà possibile realizzare solo attrezz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ture di servizio e per l'informazione con il preventivo Nullaosta della Sopri</w:t>
      </w:r>
      <w:r w:rsidRPr="0079261C">
        <w:rPr>
          <w:sz w:val="24"/>
          <w:szCs w:val="24"/>
        </w:rPr>
        <w:t>n</w:t>
      </w:r>
      <w:r w:rsidRPr="0079261C">
        <w:rPr>
          <w:sz w:val="24"/>
          <w:szCs w:val="24"/>
        </w:rPr>
        <w:t>tendenza Archeologica.</w:t>
      </w:r>
    </w:p>
    <w:p w:rsidR="00790452" w:rsidRPr="0079261C" w:rsidRDefault="00790452" w:rsidP="00790452">
      <w:pPr>
        <w:numPr>
          <w:ilvl w:val="1"/>
          <w:numId w:val="9"/>
        </w:numPr>
        <w:autoSpaceDE/>
        <w:autoSpaceDN/>
        <w:spacing w:after="240" w:line="360" w:lineRule="auto"/>
        <w:jc w:val="both"/>
        <w:rPr>
          <w:sz w:val="24"/>
          <w:szCs w:val="24"/>
          <w:u w:val="single"/>
        </w:rPr>
      </w:pPr>
      <w:r w:rsidRPr="0079261C">
        <w:rPr>
          <w:sz w:val="24"/>
          <w:szCs w:val="24"/>
          <w:u w:val="single"/>
        </w:rPr>
        <w:t>Verde pubblico di rispetto dei corsi d'acqua e della fascia c</w:t>
      </w:r>
      <w:r w:rsidRPr="0079261C">
        <w:rPr>
          <w:sz w:val="24"/>
          <w:szCs w:val="24"/>
          <w:u w:val="single"/>
        </w:rPr>
        <w:t>o</w:t>
      </w:r>
      <w:r w:rsidRPr="0079261C">
        <w:rPr>
          <w:sz w:val="24"/>
          <w:szCs w:val="24"/>
          <w:u w:val="single"/>
        </w:rPr>
        <w:t>stiera</w:t>
      </w:r>
    </w:p>
    <w:p w:rsidR="00790452" w:rsidRPr="0079261C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Tali zone comportano il divieto di qualsiasi tipo di edificazione. Sarà possibile realizzare solo percorsi attrezzati con eventuali elementi di a</w:t>
      </w:r>
      <w:r w:rsidRPr="0079261C">
        <w:rPr>
          <w:sz w:val="24"/>
          <w:szCs w:val="24"/>
        </w:rPr>
        <w:t>r</w:t>
      </w:r>
      <w:r w:rsidRPr="0079261C">
        <w:rPr>
          <w:sz w:val="24"/>
          <w:szCs w:val="24"/>
        </w:rPr>
        <w:t>redo e di illuminazione.</w:t>
      </w:r>
    </w:p>
    <w:p w:rsidR="00790452" w:rsidRPr="0079261C" w:rsidRDefault="00790452" w:rsidP="00790452">
      <w:pPr>
        <w:numPr>
          <w:ilvl w:val="1"/>
          <w:numId w:val="9"/>
        </w:numPr>
        <w:autoSpaceDE/>
        <w:autoSpaceDN/>
        <w:spacing w:after="240" w:line="360" w:lineRule="auto"/>
        <w:jc w:val="both"/>
        <w:rPr>
          <w:sz w:val="24"/>
          <w:szCs w:val="24"/>
          <w:u w:val="single"/>
        </w:rPr>
      </w:pPr>
      <w:r w:rsidRPr="0079261C">
        <w:rPr>
          <w:sz w:val="24"/>
          <w:szCs w:val="24"/>
          <w:u w:val="single"/>
        </w:rPr>
        <w:t>Discarica di categoria 2B con destinazione finale a verde pubblico a</w:t>
      </w:r>
      <w:r w:rsidRPr="0079261C">
        <w:rPr>
          <w:sz w:val="24"/>
          <w:szCs w:val="24"/>
          <w:u w:val="single"/>
        </w:rPr>
        <w:t>t</w:t>
      </w:r>
      <w:r w:rsidRPr="0079261C">
        <w:rPr>
          <w:sz w:val="24"/>
          <w:szCs w:val="24"/>
          <w:u w:val="single"/>
        </w:rPr>
        <w:t>trezzato.</w:t>
      </w:r>
    </w:p>
    <w:p w:rsidR="00790452" w:rsidRPr="00361389" w:rsidRDefault="00790452" w:rsidP="00790452">
      <w:pPr>
        <w:spacing w:after="240" w:line="360" w:lineRule="auto"/>
        <w:ind w:left="360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In tale zona, al termine dell’utilizzazione dell’area come discarica, è concesso realizzare</w:t>
      </w:r>
      <w:r w:rsidRPr="00361389">
        <w:rPr>
          <w:sz w:val="24"/>
          <w:szCs w:val="24"/>
        </w:rPr>
        <w:t xml:space="preserve"> </w:t>
      </w:r>
      <w:r w:rsidRPr="0079261C">
        <w:rPr>
          <w:sz w:val="24"/>
          <w:szCs w:val="24"/>
        </w:rPr>
        <w:t>solo percorsi attrezzati con eventuali elementi di a</w:t>
      </w:r>
      <w:r w:rsidRPr="0079261C">
        <w:rPr>
          <w:sz w:val="24"/>
          <w:szCs w:val="24"/>
        </w:rPr>
        <w:t>r</w:t>
      </w:r>
      <w:r w:rsidRPr="0079261C">
        <w:rPr>
          <w:sz w:val="24"/>
          <w:szCs w:val="24"/>
        </w:rPr>
        <w:t>redo e di illuminazion</w:t>
      </w:r>
      <w:r>
        <w:rPr>
          <w:sz w:val="24"/>
          <w:szCs w:val="24"/>
        </w:rPr>
        <w:t>e.</w:t>
      </w:r>
    </w:p>
    <w:p w:rsidR="00790452" w:rsidRDefault="00790452" w:rsidP="00790452">
      <w:pPr>
        <w:spacing w:after="240" w:line="360" w:lineRule="auto"/>
        <w:rPr>
          <w:b/>
          <w:bCs/>
          <w:sz w:val="24"/>
          <w:szCs w:val="24"/>
          <w:u w:val="single"/>
        </w:rPr>
      </w:pP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Art. 10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 w:rsidRPr="0079261C">
        <w:rPr>
          <w:b/>
          <w:bCs/>
          <w:sz w:val="24"/>
          <w:szCs w:val="24"/>
          <w:u w:val="single"/>
        </w:rPr>
        <w:t>Zona “H” – PARCHEGGI ATTREZZATI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lastRenderedPageBreak/>
        <w:t>Comprendente aree e piazzali di parcheggio collegati alla viabilità princip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le. La sistemazione di tali aree e le relative attrezzature di supporto e serv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zio saranno definite da un pr</w:t>
      </w:r>
      <w:r w:rsidRPr="0079261C">
        <w:rPr>
          <w:sz w:val="24"/>
          <w:szCs w:val="24"/>
        </w:rPr>
        <w:t>o</w:t>
      </w:r>
      <w:r w:rsidRPr="0079261C">
        <w:rPr>
          <w:sz w:val="24"/>
          <w:szCs w:val="24"/>
        </w:rPr>
        <w:t>getto unitario redatto dal Consorzio.</w:t>
      </w:r>
    </w:p>
    <w:p w:rsidR="00790452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Art. 11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 w:rsidRPr="0079261C">
        <w:rPr>
          <w:b/>
          <w:bCs/>
          <w:sz w:val="24"/>
          <w:szCs w:val="24"/>
          <w:u w:val="single"/>
        </w:rPr>
        <w:t xml:space="preserve">Zona “I” – INFRASTRUTTURE FERROVIARIE 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Questa zona comprende l'area attualmente occupata dai binari e quella n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cessaria per il previsto potenziamento della rete, che prevede il raccordo ferroviario con la stazione e con il porto.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In questa zona è assolutamente vietato qualunque tipo di edificazione, al di fuori di manufatti strettamente tecnici (tipo cab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ne elettriche, etc.).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Art. 12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 w:rsidRPr="0079261C">
        <w:rPr>
          <w:b/>
          <w:bCs/>
          <w:sz w:val="24"/>
          <w:szCs w:val="24"/>
          <w:u w:val="single"/>
        </w:rPr>
        <w:t>Zona “L” – AREE INDUSTRIALI DISMESSE O IN VIA DI DISMISSIONE DA RIQUALIFICARE</w:t>
      </w:r>
    </w:p>
    <w:p w:rsidR="00790452" w:rsidRPr="0079261C" w:rsidRDefault="00790452" w:rsidP="00790452">
      <w:pPr>
        <w:spacing w:after="240" w:line="360" w:lineRule="auto"/>
        <w:jc w:val="both"/>
        <w:rPr>
          <w:bCs/>
          <w:sz w:val="24"/>
          <w:szCs w:val="24"/>
        </w:rPr>
      </w:pPr>
      <w:r w:rsidRPr="0079261C">
        <w:rPr>
          <w:bCs/>
          <w:sz w:val="24"/>
          <w:szCs w:val="24"/>
        </w:rPr>
        <w:t xml:space="preserve">Riguarda l’area compresa tra la SS 106 ad Ovest, la costa ad Est, il sito </w:t>
      </w:r>
      <w:proofErr w:type="spellStart"/>
      <w:r w:rsidRPr="0079261C">
        <w:rPr>
          <w:bCs/>
          <w:sz w:val="24"/>
          <w:szCs w:val="24"/>
        </w:rPr>
        <w:t>F</w:t>
      </w:r>
      <w:r w:rsidRPr="0079261C">
        <w:rPr>
          <w:bCs/>
          <w:sz w:val="24"/>
          <w:szCs w:val="24"/>
        </w:rPr>
        <w:t>o</w:t>
      </w:r>
      <w:r w:rsidRPr="0079261C">
        <w:rPr>
          <w:bCs/>
          <w:sz w:val="24"/>
          <w:szCs w:val="24"/>
        </w:rPr>
        <w:t>sfotec</w:t>
      </w:r>
      <w:proofErr w:type="spellEnd"/>
      <w:r w:rsidRPr="0079261C">
        <w:rPr>
          <w:bCs/>
          <w:sz w:val="24"/>
          <w:szCs w:val="24"/>
        </w:rPr>
        <w:t xml:space="preserve"> a Sud e la strada di collegamento tra la SS 106 e la litoranea consort</w:t>
      </w:r>
      <w:r w:rsidRPr="0079261C">
        <w:rPr>
          <w:bCs/>
          <w:sz w:val="24"/>
          <w:szCs w:val="24"/>
        </w:rPr>
        <w:t>i</w:t>
      </w:r>
      <w:r w:rsidRPr="0079261C">
        <w:rPr>
          <w:bCs/>
          <w:sz w:val="24"/>
          <w:szCs w:val="24"/>
        </w:rPr>
        <w:t>le a Nord.</w:t>
      </w:r>
    </w:p>
    <w:p w:rsidR="00790452" w:rsidRPr="0079261C" w:rsidRDefault="00790452" w:rsidP="00790452">
      <w:pPr>
        <w:spacing w:after="240" w:line="360" w:lineRule="auto"/>
        <w:jc w:val="both"/>
        <w:rPr>
          <w:bCs/>
          <w:sz w:val="24"/>
          <w:szCs w:val="24"/>
        </w:rPr>
      </w:pPr>
      <w:r w:rsidRPr="0079261C">
        <w:rPr>
          <w:bCs/>
          <w:sz w:val="24"/>
          <w:szCs w:val="24"/>
        </w:rPr>
        <w:t>Tale area, man mano che verranno definitivamente dismesse le attività i</w:t>
      </w:r>
      <w:r w:rsidRPr="0079261C">
        <w:rPr>
          <w:bCs/>
          <w:sz w:val="24"/>
          <w:szCs w:val="24"/>
        </w:rPr>
        <w:t>n</w:t>
      </w:r>
      <w:r w:rsidRPr="0079261C">
        <w:rPr>
          <w:bCs/>
          <w:sz w:val="24"/>
          <w:szCs w:val="24"/>
        </w:rPr>
        <w:t>dustriali presenti, sarà trasformata da sito industriale a sito destinato a fu</w:t>
      </w:r>
      <w:r w:rsidRPr="0079261C">
        <w:rPr>
          <w:bCs/>
          <w:sz w:val="24"/>
          <w:szCs w:val="24"/>
        </w:rPr>
        <w:t>n</w:t>
      </w:r>
      <w:r w:rsidRPr="0079261C">
        <w:rPr>
          <w:bCs/>
          <w:sz w:val="24"/>
          <w:szCs w:val="24"/>
        </w:rPr>
        <w:t>zioni innovative e compatibili con lo sviluppo turistico (legato alla presenza archeologica e al mare) della costa Nord di Cr</w:t>
      </w:r>
      <w:r w:rsidRPr="0079261C">
        <w:rPr>
          <w:bCs/>
          <w:sz w:val="24"/>
          <w:szCs w:val="24"/>
        </w:rPr>
        <w:t>o</w:t>
      </w:r>
      <w:r w:rsidRPr="0079261C">
        <w:rPr>
          <w:bCs/>
          <w:sz w:val="24"/>
          <w:szCs w:val="24"/>
        </w:rPr>
        <w:t>tone.</w:t>
      </w:r>
    </w:p>
    <w:p w:rsidR="00790452" w:rsidRPr="0079261C" w:rsidRDefault="00790452" w:rsidP="00790452">
      <w:pPr>
        <w:spacing w:after="240" w:line="360" w:lineRule="auto"/>
        <w:jc w:val="both"/>
        <w:rPr>
          <w:bCs/>
          <w:sz w:val="24"/>
          <w:szCs w:val="24"/>
        </w:rPr>
      </w:pPr>
      <w:r w:rsidRPr="0079261C">
        <w:rPr>
          <w:bCs/>
          <w:sz w:val="24"/>
          <w:szCs w:val="24"/>
        </w:rPr>
        <w:t>La normativa di riferimento è contenuta nel Piano Regolatore Generale del Comune di Crotone.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Art. 13</w:t>
      </w:r>
    </w:p>
    <w:p w:rsidR="00790452" w:rsidRPr="0079261C" w:rsidRDefault="00790452" w:rsidP="00790452">
      <w:pPr>
        <w:spacing w:after="240" w:line="360" w:lineRule="auto"/>
        <w:jc w:val="center"/>
        <w:rPr>
          <w:b/>
          <w:bCs/>
          <w:sz w:val="24"/>
          <w:szCs w:val="24"/>
          <w:u w:val="single"/>
        </w:rPr>
      </w:pPr>
      <w:r w:rsidRPr="0079261C">
        <w:rPr>
          <w:b/>
          <w:bCs/>
          <w:sz w:val="24"/>
          <w:szCs w:val="24"/>
          <w:u w:val="single"/>
        </w:rPr>
        <w:t>NORME TRANSITORIE</w:t>
      </w:r>
    </w:p>
    <w:p w:rsidR="00790452" w:rsidRPr="0079261C" w:rsidRDefault="00790452" w:rsidP="00790452">
      <w:pPr>
        <w:spacing w:after="240" w:line="360" w:lineRule="auto"/>
        <w:jc w:val="both"/>
        <w:rPr>
          <w:sz w:val="24"/>
          <w:szCs w:val="24"/>
        </w:rPr>
      </w:pPr>
      <w:r w:rsidRPr="0079261C">
        <w:rPr>
          <w:sz w:val="24"/>
          <w:szCs w:val="24"/>
        </w:rPr>
        <w:t>A partire dalla data di adozione da parte del Consorzio e fino all'approv</w:t>
      </w:r>
      <w:r w:rsidRPr="0079261C">
        <w:rPr>
          <w:sz w:val="24"/>
          <w:szCs w:val="24"/>
        </w:rPr>
        <w:t>a</w:t>
      </w:r>
      <w:r w:rsidRPr="0079261C">
        <w:rPr>
          <w:sz w:val="24"/>
          <w:szCs w:val="24"/>
        </w:rPr>
        <w:t>zione della pr</w:t>
      </w:r>
      <w:r w:rsidRPr="0079261C">
        <w:rPr>
          <w:sz w:val="24"/>
          <w:szCs w:val="24"/>
        </w:rPr>
        <w:t>e</w:t>
      </w:r>
      <w:r w:rsidRPr="0079261C">
        <w:rPr>
          <w:sz w:val="24"/>
          <w:szCs w:val="24"/>
        </w:rPr>
        <w:t>sente Variante del Piano Regolatore gli Enti interessati sono tenuti a rispettare la disciplina definita negli articoli precedenti.</w:t>
      </w:r>
    </w:p>
    <w:p w:rsidR="00790452" w:rsidRPr="0079261C" w:rsidRDefault="00790452" w:rsidP="00790452">
      <w:pPr>
        <w:spacing w:after="240" w:line="360" w:lineRule="auto"/>
        <w:jc w:val="both"/>
        <w:rPr>
          <w:b/>
          <w:bCs/>
          <w:sz w:val="24"/>
          <w:szCs w:val="24"/>
          <w:u w:val="single"/>
        </w:rPr>
      </w:pPr>
      <w:r w:rsidRPr="0079261C">
        <w:rPr>
          <w:sz w:val="24"/>
          <w:szCs w:val="24"/>
        </w:rPr>
        <w:t>Le misure di salvaguardia di cui al precedente articolo si applicano per un periodo mass</w:t>
      </w:r>
      <w:r w:rsidRPr="0079261C">
        <w:rPr>
          <w:sz w:val="24"/>
          <w:szCs w:val="24"/>
        </w:rPr>
        <w:t>i</w:t>
      </w:r>
      <w:r w:rsidRPr="0079261C">
        <w:rPr>
          <w:sz w:val="24"/>
          <w:szCs w:val="24"/>
        </w:rPr>
        <w:t>mo di 3 anni a partire dalla data di adozione della Variante da parte del Consorzio.</w:t>
      </w:r>
    </w:p>
    <w:p w:rsidR="00790452" w:rsidRDefault="00790452" w:rsidP="00790452">
      <w:pPr>
        <w:spacing w:line="360" w:lineRule="auto"/>
        <w:jc w:val="both"/>
        <w:rPr>
          <w:b/>
          <w:bCs/>
          <w:sz w:val="24"/>
          <w:szCs w:val="24"/>
        </w:rPr>
      </w:pPr>
    </w:p>
    <w:p w:rsidR="00790452" w:rsidRDefault="00790452" w:rsidP="00790452">
      <w:pPr>
        <w:spacing w:line="360" w:lineRule="auto"/>
        <w:jc w:val="both"/>
        <w:rPr>
          <w:b/>
          <w:bCs/>
          <w:sz w:val="24"/>
          <w:szCs w:val="24"/>
        </w:rPr>
      </w:pPr>
    </w:p>
    <w:p w:rsidR="00790452" w:rsidRDefault="00790452" w:rsidP="00790452">
      <w:pPr>
        <w:spacing w:line="360" w:lineRule="auto"/>
        <w:jc w:val="both"/>
        <w:rPr>
          <w:b/>
          <w:bCs/>
          <w:sz w:val="24"/>
          <w:szCs w:val="24"/>
        </w:rPr>
      </w:pPr>
    </w:p>
    <w:p w:rsidR="00790452" w:rsidRDefault="00790452" w:rsidP="00790452">
      <w:pPr>
        <w:spacing w:line="360" w:lineRule="auto"/>
        <w:jc w:val="both"/>
        <w:rPr>
          <w:b/>
          <w:bCs/>
          <w:sz w:val="24"/>
          <w:szCs w:val="24"/>
        </w:rPr>
      </w:pPr>
    </w:p>
    <w:p w:rsidR="00790452" w:rsidRDefault="00790452" w:rsidP="00790452">
      <w:pPr>
        <w:spacing w:line="360" w:lineRule="auto"/>
        <w:jc w:val="both"/>
        <w:rPr>
          <w:b/>
          <w:bCs/>
          <w:sz w:val="24"/>
          <w:szCs w:val="24"/>
        </w:rPr>
      </w:pPr>
    </w:p>
    <w:p w:rsidR="00790452" w:rsidRDefault="00790452" w:rsidP="00790452">
      <w:pPr>
        <w:spacing w:line="360" w:lineRule="auto"/>
        <w:jc w:val="both"/>
        <w:rPr>
          <w:b/>
          <w:bCs/>
          <w:sz w:val="24"/>
          <w:szCs w:val="24"/>
        </w:rPr>
      </w:pPr>
    </w:p>
    <w:p w:rsidR="00790452" w:rsidRDefault="00790452" w:rsidP="00790452">
      <w:pPr>
        <w:spacing w:line="360" w:lineRule="auto"/>
        <w:jc w:val="both"/>
        <w:rPr>
          <w:b/>
          <w:bCs/>
          <w:sz w:val="24"/>
          <w:szCs w:val="24"/>
        </w:rPr>
      </w:pPr>
    </w:p>
    <w:p w:rsidR="00790452" w:rsidRDefault="00790452" w:rsidP="00790452">
      <w:pPr>
        <w:spacing w:line="360" w:lineRule="auto"/>
        <w:jc w:val="both"/>
        <w:rPr>
          <w:b/>
          <w:bCs/>
          <w:sz w:val="24"/>
          <w:szCs w:val="24"/>
        </w:rPr>
      </w:pPr>
    </w:p>
    <w:p w:rsidR="001E35D0" w:rsidRDefault="00790452"/>
    <w:sectPr w:rsidR="001E35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024730E"/>
    <w:lvl w:ilvl="0">
      <w:numFmt w:val="decimal"/>
      <w:lvlText w:val="*"/>
      <w:lvlJc w:val="left"/>
    </w:lvl>
  </w:abstractNum>
  <w:abstractNum w:abstractNumId="1" w15:restartNumberingAfterBreak="0">
    <w:nsid w:val="007543AC"/>
    <w:multiLevelType w:val="hybridMultilevel"/>
    <w:tmpl w:val="E1F65BB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830AD6"/>
    <w:multiLevelType w:val="hybridMultilevel"/>
    <w:tmpl w:val="C57E10D0"/>
    <w:lvl w:ilvl="0" w:tplc="6644BAD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6E382F"/>
    <w:multiLevelType w:val="hybridMultilevel"/>
    <w:tmpl w:val="79AC21E0"/>
    <w:lvl w:ilvl="0" w:tplc="0410000D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32BA3FB6"/>
    <w:multiLevelType w:val="hybridMultilevel"/>
    <w:tmpl w:val="9CAE5736"/>
    <w:lvl w:ilvl="0" w:tplc="B9F8DE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D5739A"/>
    <w:multiLevelType w:val="hybridMultilevel"/>
    <w:tmpl w:val="42E0D96A"/>
    <w:lvl w:ilvl="0" w:tplc="4AE49E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E68E7"/>
    <w:multiLevelType w:val="hybridMultilevel"/>
    <w:tmpl w:val="3A50992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C9E223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5B20D0"/>
    <w:multiLevelType w:val="hybridMultilevel"/>
    <w:tmpl w:val="E7A44102"/>
    <w:lvl w:ilvl="0" w:tplc="0410000D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68DA3EB1"/>
    <w:multiLevelType w:val="singleLevel"/>
    <w:tmpl w:val="970E7B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b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52"/>
    <w:rsid w:val="00265D0F"/>
    <w:rsid w:val="00790452"/>
    <w:rsid w:val="00B2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0EBCC-1A03-4C7A-949E-50BB891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04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2690</Words>
  <Characters>15338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2016-04-20T11:35:00Z</dcterms:created>
  <dcterms:modified xsi:type="dcterms:W3CDTF">2016-04-20T11:36:00Z</dcterms:modified>
</cp:coreProperties>
</file>